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412F10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412F10" w:rsidRDefault="007E3ED3" w:rsidP="00EF7A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5BF7D" w14:textId="77777777" w:rsidR="007E3ED3" w:rsidRPr="00412F10" w:rsidRDefault="007E3ED3" w:rsidP="00EF7A4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4683133" w14:textId="77777777" w:rsidR="007E3ED3" w:rsidRPr="00412F10" w:rsidRDefault="007E3ED3" w:rsidP="00544C9C">
            <w:pPr>
              <w:ind w:left="3690"/>
              <w:rPr>
                <w:sz w:val="24"/>
                <w:szCs w:val="24"/>
                <w:lang w:val="fr-FR"/>
              </w:rPr>
            </w:pPr>
          </w:p>
        </w:tc>
      </w:tr>
    </w:tbl>
    <w:p w14:paraId="3F3EAFAC" w14:textId="45B656A7" w:rsidR="007E3ED3" w:rsidRPr="00412F10" w:rsidRDefault="00365B6D" w:rsidP="00047732">
      <w:pPr>
        <w:spacing w:line="312" w:lineRule="auto"/>
        <w:jc w:val="right"/>
        <w:rPr>
          <w:b/>
          <w:sz w:val="24"/>
          <w:szCs w:val="24"/>
        </w:rPr>
      </w:pPr>
      <w:r w:rsidRPr="00412F10">
        <w:rPr>
          <w:b/>
          <w:sz w:val="24"/>
          <w:szCs w:val="24"/>
        </w:rPr>
        <w:t>Πάτρα</w:t>
      </w:r>
      <w:r w:rsidR="007E3ED3" w:rsidRPr="00412F10">
        <w:rPr>
          <w:b/>
          <w:sz w:val="24"/>
          <w:szCs w:val="24"/>
        </w:rPr>
        <w:t xml:space="preserve">   </w:t>
      </w:r>
      <w:r w:rsidR="00BA64BA">
        <w:rPr>
          <w:b/>
          <w:sz w:val="24"/>
          <w:szCs w:val="24"/>
        </w:rPr>
        <w:t>30</w:t>
      </w:r>
      <w:r w:rsidR="007E3ED3" w:rsidRPr="00412F10">
        <w:rPr>
          <w:b/>
          <w:sz w:val="24"/>
          <w:szCs w:val="24"/>
        </w:rPr>
        <w:t xml:space="preserve">/ </w:t>
      </w:r>
      <w:r w:rsidR="00855964" w:rsidRPr="00412F10">
        <w:rPr>
          <w:b/>
          <w:sz w:val="24"/>
          <w:szCs w:val="24"/>
        </w:rPr>
        <w:t>0</w:t>
      </w:r>
      <w:r w:rsidR="00BA64BA">
        <w:rPr>
          <w:b/>
          <w:sz w:val="24"/>
          <w:szCs w:val="24"/>
        </w:rPr>
        <w:t>5</w:t>
      </w:r>
      <w:r w:rsidR="007E3ED3" w:rsidRPr="00412F10">
        <w:rPr>
          <w:b/>
          <w:sz w:val="24"/>
          <w:szCs w:val="24"/>
        </w:rPr>
        <w:t>/ 20</w:t>
      </w:r>
      <w:r w:rsidR="00855964" w:rsidRPr="00412F10">
        <w:rPr>
          <w:b/>
          <w:sz w:val="24"/>
          <w:szCs w:val="24"/>
        </w:rPr>
        <w:t>2</w:t>
      </w:r>
      <w:r w:rsidR="00060751" w:rsidRPr="00412F10">
        <w:rPr>
          <w:b/>
          <w:sz w:val="24"/>
          <w:szCs w:val="24"/>
        </w:rPr>
        <w:t>2</w:t>
      </w:r>
    </w:p>
    <w:p w14:paraId="62E62A1B" w14:textId="77777777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412F10">
        <w:rPr>
          <w:color w:val="000000"/>
          <w:sz w:val="24"/>
          <w:szCs w:val="24"/>
        </w:rPr>
        <w:t>ΠΑΝΕΠΙΣΤΗΜΙΟ ΠΑΤΡΩΝ</w:t>
      </w:r>
    </w:p>
    <w:p w14:paraId="32EA38BB" w14:textId="79B8CE92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412F10">
        <w:rPr>
          <w:color w:val="000000"/>
          <w:sz w:val="24"/>
          <w:szCs w:val="24"/>
        </w:rPr>
        <w:t xml:space="preserve">ΤΜΗΜΑ </w:t>
      </w:r>
      <w:r w:rsidR="00365B6D" w:rsidRPr="00412F10">
        <w:rPr>
          <w:color w:val="000000"/>
          <w:sz w:val="24"/>
          <w:szCs w:val="24"/>
        </w:rPr>
        <w:t>ΘΕΑΤΡΙΚΩΝ ΣΠΟΥΔΩΝ</w:t>
      </w:r>
    </w:p>
    <w:p w14:paraId="5E8F3F7D" w14:textId="3E3537E0" w:rsidR="006A5A26" w:rsidRPr="00412F10" w:rsidRDefault="00C07C8B" w:rsidP="006A5A2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12F10">
        <w:rPr>
          <w:b/>
          <w:bCs/>
          <w:color w:val="000000"/>
          <w:sz w:val="24"/>
          <w:szCs w:val="24"/>
        </w:rPr>
        <w:t xml:space="preserve">ΠΡΟΓΡΑΜΜΑ </w:t>
      </w:r>
      <w:r w:rsidRPr="00C07C8B">
        <w:rPr>
          <w:b/>
          <w:bCs/>
          <w:color w:val="000000"/>
          <w:sz w:val="24"/>
          <w:szCs w:val="24"/>
        </w:rPr>
        <w:t>ΠΡΑΚΤΙΚΗ</w:t>
      </w:r>
      <w:r>
        <w:rPr>
          <w:b/>
          <w:bCs/>
          <w:color w:val="000000"/>
          <w:sz w:val="24"/>
          <w:szCs w:val="24"/>
        </w:rPr>
        <w:t>Σ</w:t>
      </w:r>
      <w:r w:rsidRPr="00C07C8B">
        <w:rPr>
          <w:b/>
          <w:bCs/>
          <w:color w:val="000000"/>
          <w:sz w:val="24"/>
          <w:szCs w:val="24"/>
        </w:rPr>
        <w:t xml:space="preserve"> ΆΣΚΗΣΗ</w:t>
      </w:r>
      <w:r>
        <w:rPr>
          <w:b/>
          <w:bCs/>
          <w:color w:val="000000"/>
          <w:sz w:val="24"/>
          <w:szCs w:val="24"/>
        </w:rPr>
        <w:t>Σ</w:t>
      </w:r>
      <w:r w:rsidRPr="00C07C8B">
        <w:rPr>
          <w:b/>
          <w:bCs/>
          <w:color w:val="000000"/>
          <w:sz w:val="24"/>
          <w:szCs w:val="24"/>
        </w:rPr>
        <w:t xml:space="preserve"> ΤΡΙΤΟΒΑΘΜΙΑΣ ΕΚΠΑΙΔΕΥΣΗΣ ΠΑΝΕΠΙΣΤΗΜΙΟΥ ΠΑΤΡΩΝ</w:t>
      </w:r>
    </w:p>
    <w:p w14:paraId="38838B48" w14:textId="63D67447" w:rsidR="006A5A26" w:rsidRPr="00412F10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412F10">
        <w:rPr>
          <w:b/>
          <w:bCs/>
          <w:color w:val="000000"/>
          <w:sz w:val="24"/>
          <w:szCs w:val="24"/>
        </w:rPr>
        <w:t xml:space="preserve">Επιστημονικός Υπεύθυνος: </w:t>
      </w:r>
      <w:r w:rsidR="00365B6D" w:rsidRPr="00412F10">
        <w:rPr>
          <w:b/>
          <w:bCs/>
          <w:color w:val="000000"/>
          <w:sz w:val="24"/>
          <w:szCs w:val="24"/>
        </w:rPr>
        <w:t xml:space="preserve">Αν. </w:t>
      </w:r>
      <w:r w:rsidRPr="00412F10">
        <w:rPr>
          <w:b/>
          <w:bCs/>
          <w:color w:val="000000"/>
          <w:sz w:val="24"/>
          <w:szCs w:val="24"/>
        </w:rPr>
        <w:t xml:space="preserve">Καθηγητής </w:t>
      </w:r>
      <w:r w:rsidR="00365B6D" w:rsidRPr="00412F10">
        <w:rPr>
          <w:b/>
          <w:bCs/>
          <w:color w:val="000000"/>
          <w:sz w:val="24"/>
          <w:szCs w:val="24"/>
        </w:rPr>
        <w:t>Γεώργιος Σαμπατακάκης</w:t>
      </w:r>
    </w:p>
    <w:p w14:paraId="29832013" w14:textId="77777777" w:rsidR="00561704" w:rsidRPr="00412F10" w:rsidRDefault="00561704" w:rsidP="00561704">
      <w:pPr>
        <w:autoSpaceDE w:val="0"/>
        <w:autoSpaceDN w:val="0"/>
        <w:adjustRightInd w:val="0"/>
        <w:jc w:val="center"/>
        <w:rPr>
          <w:b/>
          <w:color w:val="FF0000"/>
          <w:sz w:val="24"/>
          <w:szCs w:val="24"/>
        </w:rPr>
      </w:pPr>
    </w:p>
    <w:p w14:paraId="2672475B" w14:textId="030B2B44" w:rsidR="007E3ED3" w:rsidRPr="00412F10" w:rsidRDefault="007E3ED3" w:rsidP="0056170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F10">
        <w:rPr>
          <w:b/>
          <w:sz w:val="24"/>
          <w:szCs w:val="24"/>
        </w:rPr>
        <w:t>Ακαδημαϊκό έτος 20</w:t>
      </w:r>
      <w:r w:rsidR="00846786" w:rsidRPr="00412F10">
        <w:rPr>
          <w:b/>
          <w:sz w:val="24"/>
          <w:szCs w:val="24"/>
        </w:rPr>
        <w:t>2</w:t>
      </w:r>
      <w:r w:rsidR="00060751" w:rsidRPr="00412F10">
        <w:rPr>
          <w:b/>
          <w:sz w:val="24"/>
          <w:szCs w:val="24"/>
        </w:rPr>
        <w:t>1</w:t>
      </w:r>
      <w:r w:rsidRPr="00412F10">
        <w:rPr>
          <w:b/>
          <w:sz w:val="24"/>
          <w:szCs w:val="24"/>
        </w:rPr>
        <w:t>-20</w:t>
      </w:r>
      <w:r w:rsidR="00051C2D" w:rsidRPr="00412F10">
        <w:rPr>
          <w:b/>
          <w:sz w:val="24"/>
          <w:szCs w:val="24"/>
        </w:rPr>
        <w:t>2</w:t>
      </w:r>
      <w:r w:rsidR="00060751" w:rsidRPr="00412F10">
        <w:rPr>
          <w:b/>
          <w:sz w:val="24"/>
          <w:szCs w:val="24"/>
        </w:rPr>
        <w:t>2</w:t>
      </w:r>
    </w:p>
    <w:p w14:paraId="0928285B" w14:textId="77777777" w:rsidR="00AA7BA2" w:rsidRPr="00412F10" w:rsidRDefault="00AA7BA2" w:rsidP="0056170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4A0EAAC" w14:textId="77777777" w:rsidR="0042497F" w:rsidRPr="00412F10" w:rsidRDefault="006A5A26" w:rsidP="00AA7BA2">
      <w:pPr>
        <w:spacing w:before="240"/>
        <w:jc w:val="center"/>
        <w:rPr>
          <w:sz w:val="24"/>
          <w:szCs w:val="24"/>
        </w:rPr>
      </w:pPr>
      <w:r w:rsidRPr="00412F10">
        <w:rPr>
          <w:b/>
          <w:sz w:val="24"/>
          <w:szCs w:val="24"/>
        </w:rPr>
        <w:t>ΑΠΟΤΕΛΕΣΜΑΤΑ ΕΠΙΛΟΓΗΣ ΘΕΣΕΩΝ ΠΡΑΚΤΙΚΗΣ ΑΣΚΗΣΗΣ</w:t>
      </w:r>
      <w:r w:rsidR="0042497F" w:rsidRPr="00412F10">
        <w:rPr>
          <w:b/>
          <w:sz w:val="24"/>
          <w:szCs w:val="24"/>
        </w:rPr>
        <w:t xml:space="preserve"> </w:t>
      </w:r>
    </w:p>
    <w:p w14:paraId="0C57AA7E" w14:textId="10693157" w:rsidR="006A5A26" w:rsidRPr="00412F10" w:rsidRDefault="006A5A26" w:rsidP="002D5DF6">
      <w:p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Η επιτροπή Πρακτικής Άσκησης του Τμήματος </w:t>
      </w:r>
      <w:r w:rsidR="00365B6D" w:rsidRPr="00412F10">
        <w:rPr>
          <w:sz w:val="24"/>
          <w:szCs w:val="24"/>
        </w:rPr>
        <w:t>Θεατρικών Σπουδών</w:t>
      </w:r>
      <w:r w:rsidRPr="00412F10">
        <w:rPr>
          <w:sz w:val="24"/>
          <w:szCs w:val="24"/>
        </w:rPr>
        <w:t xml:space="preserve"> του Πανεπιστημίου Πατρών που αποτελείται από τους κ.κ.:</w:t>
      </w:r>
    </w:p>
    <w:p w14:paraId="1A346DBB" w14:textId="6359409F" w:rsidR="006A5A26" w:rsidRPr="00412F10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>Γεώργιο Σαμπατακάκης</w:t>
      </w:r>
      <w:r w:rsidR="006A5A26" w:rsidRPr="00412F10">
        <w:rPr>
          <w:sz w:val="24"/>
          <w:szCs w:val="24"/>
        </w:rPr>
        <w:t xml:space="preserve">, </w:t>
      </w:r>
      <w:r w:rsidRPr="00412F10">
        <w:rPr>
          <w:sz w:val="24"/>
          <w:szCs w:val="24"/>
        </w:rPr>
        <w:t xml:space="preserve">Αν. </w:t>
      </w:r>
      <w:r w:rsidR="006A5A26" w:rsidRPr="00412F10">
        <w:rPr>
          <w:sz w:val="24"/>
          <w:szCs w:val="24"/>
        </w:rPr>
        <w:t>Καθηγητή (Πρόεδρο)</w:t>
      </w:r>
    </w:p>
    <w:p w14:paraId="68625D1F" w14:textId="6C08F342" w:rsidR="006A5A26" w:rsidRPr="00412F10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>Ιωάννα Παπαγεωργίου</w:t>
      </w:r>
      <w:r w:rsidR="006A5A26" w:rsidRPr="00412F10">
        <w:rPr>
          <w:sz w:val="24"/>
          <w:szCs w:val="24"/>
        </w:rPr>
        <w:t xml:space="preserve">, </w:t>
      </w:r>
      <w:r w:rsidRPr="00412F10">
        <w:rPr>
          <w:sz w:val="24"/>
          <w:szCs w:val="24"/>
        </w:rPr>
        <w:t xml:space="preserve">Επικ. </w:t>
      </w:r>
      <w:r w:rsidR="006A5A26" w:rsidRPr="00412F10">
        <w:rPr>
          <w:sz w:val="24"/>
          <w:szCs w:val="24"/>
        </w:rPr>
        <w:t>Καθηγ</w:t>
      </w:r>
      <w:r w:rsidRPr="00412F10">
        <w:rPr>
          <w:sz w:val="24"/>
          <w:szCs w:val="24"/>
        </w:rPr>
        <w:t>ήτρια</w:t>
      </w:r>
      <w:r w:rsidR="006A5A26" w:rsidRPr="00412F10">
        <w:rPr>
          <w:sz w:val="24"/>
          <w:szCs w:val="24"/>
        </w:rPr>
        <w:t xml:space="preserve"> (Μέλος)</w:t>
      </w:r>
    </w:p>
    <w:p w14:paraId="209B6553" w14:textId="563C41C3" w:rsidR="006A5A26" w:rsidRPr="00412F10" w:rsidRDefault="00365B6D" w:rsidP="006A5A26">
      <w:pPr>
        <w:pStyle w:val="aa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>Αικατερίνη Κουνάκη</w:t>
      </w:r>
      <w:r w:rsidR="00846786" w:rsidRPr="00412F10">
        <w:rPr>
          <w:sz w:val="24"/>
          <w:szCs w:val="24"/>
        </w:rPr>
        <w:t xml:space="preserve"> </w:t>
      </w:r>
      <w:r w:rsidR="006A5A26" w:rsidRPr="00412F10">
        <w:rPr>
          <w:sz w:val="24"/>
          <w:szCs w:val="24"/>
        </w:rPr>
        <w:t xml:space="preserve">, </w:t>
      </w:r>
      <w:r w:rsidRPr="00412F10">
        <w:rPr>
          <w:sz w:val="24"/>
          <w:szCs w:val="24"/>
        </w:rPr>
        <w:t>Επικ. Καθηγήτρια (Μέλος)</w:t>
      </w:r>
    </w:p>
    <w:p w14:paraId="048AECAF" w14:textId="5080A7F1" w:rsidR="006A5A26" w:rsidRPr="00412F10" w:rsidRDefault="00423B0C" w:rsidP="006A5A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Έπειτα</w:t>
      </w:r>
      <w:r w:rsidR="006A5A26" w:rsidRPr="00412F10">
        <w:rPr>
          <w:sz w:val="24"/>
          <w:szCs w:val="24"/>
        </w:rPr>
        <w:t xml:space="preserve"> από ενδελεχή έλεγχο των πιστοποιητικών αναλυτικής βαθμολογίας των </w:t>
      </w:r>
      <w:r w:rsidR="008B44F3">
        <w:rPr>
          <w:sz w:val="24"/>
          <w:szCs w:val="24"/>
        </w:rPr>
        <w:t>έξι</w:t>
      </w:r>
      <w:r w:rsidR="006A5A26" w:rsidRPr="00412F10">
        <w:rPr>
          <w:sz w:val="24"/>
          <w:szCs w:val="24"/>
        </w:rPr>
        <w:t xml:space="preserve"> (</w:t>
      </w:r>
      <w:r w:rsidR="008B44F3">
        <w:rPr>
          <w:sz w:val="24"/>
          <w:szCs w:val="24"/>
        </w:rPr>
        <w:t>6</w:t>
      </w:r>
      <w:r w:rsidR="006A5A26" w:rsidRPr="00412F10">
        <w:rPr>
          <w:sz w:val="24"/>
          <w:szCs w:val="24"/>
        </w:rPr>
        <w:t>) υποψηφίων φοιτητών/τριών που έκαναν αίτηση για συμμετοχή στο Πρόγραμμα Πρακτικής Άσκησης</w:t>
      </w:r>
      <w:r w:rsidR="00846786" w:rsidRPr="00412F10">
        <w:rPr>
          <w:sz w:val="24"/>
          <w:szCs w:val="24"/>
        </w:rPr>
        <w:t xml:space="preserve"> </w:t>
      </w:r>
      <w:r w:rsidR="006A5A26" w:rsidRPr="00412F10">
        <w:rPr>
          <w:sz w:val="24"/>
          <w:szCs w:val="24"/>
        </w:rPr>
        <w:t xml:space="preserve">του Τμήματος </w:t>
      </w:r>
      <w:r w:rsidR="00BB4245" w:rsidRPr="00412F10">
        <w:rPr>
          <w:sz w:val="24"/>
          <w:szCs w:val="24"/>
        </w:rPr>
        <w:t xml:space="preserve">Θεατρικών Σπουδών </w:t>
      </w:r>
      <w:r w:rsidR="006A5A26" w:rsidRPr="00412F10">
        <w:rPr>
          <w:sz w:val="24"/>
          <w:szCs w:val="24"/>
        </w:rPr>
        <w:t>και με βάση τα κριτήρια επιλογής που είναι:</w:t>
      </w:r>
    </w:p>
    <w:p w14:paraId="60A6ACA5" w14:textId="0E2A87C5" w:rsidR="005D4283" w:rsidRPr="00412F10" w:rsidRDefault="005D4283" w:rsidP="005D4283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12F10">
        <w:rPr>
          <w:sz w:val="24"/>
          <w:szCs w:val="24"/>
        </w:rPr>
        <w:t xml:space="preserve">α = </w:t>
      </w:r>
      <w:r w:rsidR="00365B6D" w:rsidRPr="00412F10">
        <w:rPr>
          <w:sz w:val="24"/>
          <w:szCs w:val="24"/>
        </w:rPr>
        <w:t>ο μέσος όρος βαθμολογίας του φοιτητή (ποσοστό βαρύτητας 60%)</w:t>
      </w:r>
    </w:p>
    <w:p w14:paraId="753A232F" w14:textId="20140F5B" w:rsidR="005D4283" w:rsidRPr="00412F10" w:rsidRDefault="005D4283" w:rsidP="005D4283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u w:val="single"/>
        </w:rPr>
      </w:pPr>
      <w:r w:rsidRPr="00412F10">
        <w:rPr>
          <w:sz w:val="24"/>
          <w:szCs w:val="24"/>
        </w:rPr>
        <w:t xml:space="preserve">β = ο </w:t>
      </w:r>
      <w:r w:rsidR="00365B6D" w:rsidRPr="00412F10">
        <w:rPr>
          <w:sz w:val="24"/>
          <w:szCs w:val="24"/>
        </w:rPr>
        <w:t>αριθμός μαθημάτων</w:t>
      </w:r>
      <w:r w:rsidRPr="00412F10">
        <w:rPr>
          <w:sz w:val="24"/>
          <w:szCs w:val="24"/>
        </w:rPr>
        <w:t xml:space="preserve"> </w:t>
      </w:r>
      <w:r w:rsidR="00365B6D" w:rsidRPr="00412F10">
        <w:rPr>
          <w:sz w:val="24"/>
          <w:szCs w:val="24"/>
        </w:rPr>
        <w:t>στα οποία έχει εξεταστεί επιτυχώς ο φοιτητής</w:t>
      </w:r>
      <w:r w:rsidRPr="00412F10">
        <w:rPr>
          <w:sz w:val="24"/>
          <w:szCs w:val="24"/>
        </w:rPr>
        <w:t xml:space="preserve"> (ποσοστό βαρύτητας </w:t>
      </w:r>
      <w:r w:rsidR="00365B6D" w:rsidRPr="00412F10">
        <w:rPr>
          <w:sz w:val="24"/>
          <w:szCs w:val="24"/>
        </w:rPr>
        <w:t>4</w:t>
      </w:r>
      <w:r w:rsidRPr="00412F10">
        <w:rPr>
          <w:sz w:val="24"/>
          <w:szCs w:val="24"/>
        </w:rPr>
        <w:t>0%)</w:t>
      </w:r>
    </w:p>
    <w:p w14:paraId="4386303D" w14:textId="5BFEBBF6" w:rsidR="00365B6D" w:rsidRPr="00412F10" w:rsidRDefault="0093432F" w:rsidP="006A5A26">
      <w:pPr>
        <w:spacing w:before="120"/>
        <w:jc w:val="both"/>
        <w:rPr>
          <w:sz w:val="24"/>
          <w:szCs w:val="24"/>
        </w:rPr>
      </w:pPr>
      <w:r w:rsidRPr="00412F10">
        <w:rPr>
          <w:sz w:val="24"/>
          <w:szCs w:val="24"/>
        </w:rPr>
        <w:t>έκανε αποδεκτές</w:t>
      </w:r>
      <w:r w:rsidR="00365B6D" w:rsidRPr="00412F10">
        <w:rPr>
          <w:sz w:val="24"/>
          <w:szCs w:val="24"/>
        </w:rPr>
        <w:t xml:space="preserve"> όλες τις αιτήσεις και </w:t>
      </w:r>
      <w:r w:rsidRPr="00412F10">
        <w:rPr>
          <w:sz w:val="24"/>
          <w:szCs w:val="24"/>
        </w:rPr>
        <w:t>κατέταξε</w:t>
      </w:r>
      <w:r w:rsidR="00365B6D" w:rsidRPr="00412F10">
        <w:rPr>
          <w:sz w:val="24"/>
          <w:szCs w:val="24"/>
        </w:rPr>
        <w:t xml:space="preserve"> </w:t>
      </w:r>
      <w:r w:rsidRPr="00412F10">
        <w:rPr>
          <w:sz w:val="24"/>
          <w:szCs w:val="24"/>
        </w:rPr>
        <w:t>τους/τις</w:t>
      </w:r>
      <w:r w:rsidR="00365B6D" w:rsidRPr="00412F10">
        <w:rPr>
          <w:sz w:val="24"/>
          <w:szCs w:val="24"/>
        </w:rPr>
        <w:t xml:space="preserve"> υποψήφιους/ες φοιτητές/τριες ως εξής:</w:t>
      </w:r>
    </w:p>
    <w:tbl>
      <w:tblPr>
        <w:tblStyle w:val="a9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630"/>
        <w:gridCol w:w="1056"/>
        <w:gridCol w:w="880"/>
        <w:gridCol w:w="1437"/>
      </w:tblGrid>
      <w:tr w:rsidR="00FF2031" w:rsidRPr="00412F10" w14:paraId="2B3F8CFF" w14:textId="77777777" w:rsidTr="00FF2031">
        <w:tc>
          <w:tcPr>
            <w:tcW w:w="0" w:type="auto"/>
          </w:tcPr>
          <w:p w14:paraId="28D070D6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0" w:type="auto"/>
          </w:tcPr>
          <w:p w14:paraId="5F8577EA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Α.Μ.</w:t>
            </w:r>
          </w:p>
        </w:tc>
        <w:tc>
          <w:tcPr>
            <w:tcW w:w="0" w:type="auto"/>
          </w:tcPr>
          <w:p w14:paraId="1E56325D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ΕΤΟΣ</w:t>
            </w:r>
          </w:p>
        </w:tc>
        <w:tc>
          <w:tcPr>
            <w:tcW w:w="0" w:type="auto"/>
          </w:tcPr>
          <w:p w14:paraId="6BD6D1E7" w14:textId="77777777" w:rsidR="00FF2031" w:rsidRPr="00412F10" w:rsidRDefault="00FF2031" w:rsidP="00FF203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12F10">
              <w:rPr>
                <w:b/>
                <w:bCs/>
                <w:sz w:val="24"/>
                <w:szCs w:val="24"/>
              </w:rPr>
              <w:t>ΠΟΣΟΣΤΟ</w:t>
            </w:r>
          </w:p>
        </w:tc>
      </w:tr>
      <w:tr w:rsidR="00FF2031" w:rsidRPr="00412F10" w14:paraId="11690D5E" w14:textId="77777777" w:rsidTr="00FF2031">
        <w:tc>
          <w:tcPr>
            <w:tcW w:w="0" w:type="auto"/>
          </w:tcPr>
          <w:p w14:paraId="4010D2B3" w14:textId="77777777" w:rsidR="00FF2031" w:rsidRPr="00412F1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70027B" w14:textId="3EA62BB4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107</w:t>
            </w:r>
            <w:r w:rsidR="005443FD">
              <w:rPr>
                <w:sz w:val="24"/>
                <w:szCs w:val="24"/>
              </w:rPr>
              <w:t>5177</w:t>
            </w:r>
          </w:p>
        </w:tc>
        <w:tc>
          <w:tcPr>
            <w:tcW w:w="0" w:type="auto"/>
          </w:tcPr>
          <w:p w14:paraId="441C0046" w14:textId="77777777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3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143643C" w14:textId="77777777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40+55 = 95</w:t>
            </w:r>
          </w:p>
        </w:tc>
      </w:tr>
      <w:tr w:rsidR="00FF2031" w:rsidRPr="00412F10" w14:paraId="3C6E1FE5" w14:textId="77777777" w:rsidTr="00FF2031">
        <w:tc>
          <w:tcPr>
            <w:tcW w:w="0" w:type="auto"/>
          </w:tcPr>
          <w:p w14:paraId="06329224" w14:textId="77777777" w:rsidR="00FF2031" w:rsidRPr="00412F10" w:rsidRDefault="00FF2031" w:rsidP="00FF2031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D1D1687" w14:textId="01816B8D" w:rsidR="00FF2031" w:rsidRPr="00412F10" w:rsidRDefault="00FF2031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1</w:t>
            </w:r>
            <w:r w:rsidR="009F1673">
              <w:rPr>
                <w:sz w:val="24"/>
                <w:szCs w:val="24"/>
              </w:rPr>
              <w:t>0719</w:t>
            </w:r>
            <w:r w:rsidR="00C56ED6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FF61804" w14:textId="4E7B14A6" w:rsidR="00FF2031" w:rsidRPr="00412F10" w:rsidRDefault="00C56ED6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2031"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F0420E0" w14:textId="14A4F7DA" w:rsidR="00FF2031" w:rsidRPr="00412F10" w:rsidRDefault="0059249B" w:rsidP="00FF20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FF2031" w:rsidRPr="00412F10">
              <w:rPr>
                <w:sz w:val="24"/>
                <w:szCs w:val="24"/>
              </w:rPr>
              <w:t>+</w:t>
            </w:r>
            <w:r w:rsidR="00C56ED6">
              <w:rPr>
                <w:sz w:val="24"/>
                <w:szCs w:val="24"/>
              </w:rPr>
              <w:t>53</w:t>
            </w:r>
            <w:r w:rsidR="00FF2031" w:rsidRPr="00412F10">
              <w:rPr>
                <w:sz w:val="24"/>
                <w:szCs w:val="24"/>
              </w:rPr>
              <w:t xml:space="preserve"> = </w:t>
            </w:r>
            <w:r w:rsidR="005859C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</w:tr>
      <w:tr w:rsidR="0085569B" w:rsidRPr="00412F10" w14:paraId="14805FE1" w14:textId="77777777" w:rsidTr="00FF2031">
        <w:tc>
          <w:tcPr>
            <w:tcW w:w="0" w:type="auto"/>
          </w:tcPr>
          <w:p w14:paraId="3921EF9B" w14:textId="77777777" w:rsidR="0085569B" w:rsidRPr="00412F10" w:rsidRDefault="0085569B" w:rsidP="0085569B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F1CFB1" w14:textId="3CDA43AD" w:rsidR="0085569B" w:rsidRPr="00412F10" w:rsidRDefault="0085569B" w:rsidP="008556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1066769</w:t>
            </w:r>
          </w:p>
        </w:tc>
        <w:tc>
          <w:tcPr>
            <w:tcW w:w="0" w:type="auto"/>
          </w:tcPr>
          <w:p w14:paraId="08B9B6F6" w14:textId="1C630DBB" w:rsidR="0085569B" w:rsidRDefault="0085569B" w:rsidP="008556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57AC9FEE" w14:textId="1F127628" w:rsidR="0085569B" w:rsidRDefault="0085569B" w:rsidP="008556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412F10">
              <w:rPr>
                <w:sz w:val="24"/>
                <w:szCs w:val="24"/>
              </w:rPr>
              <w:t>+39 = 7</w:t>
            </w:r>
            <w:r>
              <w:rPr>
                <w:sz w:val="24"/>
                <w:szCs w:val="24"/>
              </w:rPr>
              <w:t>9</w:t>
            </w:r>
          </w:p>
        </w:tc>
      </w:tr>
      <w:tr w:rsidR="007208B2" w:rsidRPr="00412F10" w14:paraId="7BC3D934" w14:textId="77777777" w:rsidTr="00FF2031">
        <w:tc>
          <w:tcPr>
            <w:tcW w:w="0" w:type="auto"/>
          </w:tcPr>
          <w:p w14:paraId="52D63C9A" w14:textId="77777777" w:rsidR="007208B2" w:rsidRPr="00412F10" w:rsidRDefault="007208B2" w:rsidP="007208B2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DFC16C" w14:textId="77C4E900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1062600</w:t>
            </w:r>
          </w:p>
        </w:tc>
        <w:tc>
          <w:tcPr>
            <w:tcW w:w="0" w:type="auto"/>
          </w:tcPr>
          <w:p w14:paraId="460C5880" w14:textId="582B9FCE" w:rsidR="007208B2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62AC0189" w14:textId="79FC38F2" w:rsidR="007208B2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3</w:t>
            </w:r>
            <w:r w:rsidR="003F5AAF">
              <w:rPr>
                <w:sz w:val="24"/>
                <w:szCs w:val="24"/>
              </w:rPr>
              <w:t>7</w:t>
            </w:r>
            <w:r w:rsidRPr="00412F10">
              <w:rPr>
                <w:sz w:val="24"/>
                <w:szCs w:val="24"/>
              </w:rPr>
              <w:t>+40 = 7</w:t>
            </w:r>
            <w:r w:rsidR="003F5AAF">
              <w:rPr>
                <w:sz w:val="24"/>
                <w:szCs w:val="24"/>
              </w:rPr>
              <w:t>7</w:t>
            </w:r>
          </w:p>
        </w:tc>
      </w:tr>
      <w:tr w:rsidR="007208B2" w:rsidRPr="00412F10" w14:paraId="2681419B" w14:textId="77777777" w:rsidTr="00FF2031">
        <w:tc>
          <w:tcPr>
            <w:tcW w:w="0" w:type="auto"/>
          </w:tcPr>
          <w:p w14:paraId="6E55E94E" w14:textId="77777777" w:rsidR="007208B2" w:rsidRPr="00412F10" w:rsidRDefault="007208B2" w:rsidP="007208B2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E44C2B" w14:textId="4D61B95A" w:rsidR="007208B2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1070503</w:t>
            </w:r>
          </w:p>
        </w:tc>
        <w:tc>
          <w:tcPr>
            <w:tcW w:w="0" w:type="auto"/>
          </w:tcPr>
          <w:p w14:paraId="014B1120" w14:textId="39108012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37DCA3B6" w14:textId="629DE9C3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3</w:t>
            </w:r>
            <w:r w:rsidR="00F80E57">
              <w:rPr>
                <w:sz w:val="24"/>
                <w:szCs w:val="24"/>
              </w:rPr>
              <w:t>7</w:t>
            </w:r>
            <w:r w:rsidRPr="00412F1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32</w:t>
            </w:r>
            <w:r w:rsidRPr="00412F10">
              <w:rPr>
                <w:sz w:val="24"/>
                <w:szCs w:val="24"/>
              </w:rPr>
              <w:t xml:space="preserve"> = </w:t>
            </w:r>
            <w:r w:rsidR="00135E53">
              <w:rPr>
                <w:sz w:val="24"/>
                <w:szCs w:val="24"/>
              </w:rPr>
              <w:t>69</w:t>
            </w:r>
          </w:p>
        </w:tc>
      </w:tr>
      <w:tr w:rsidR="007208B2" w:rsidRPr="00412F10" w14:paraId="441ADD1A" w14:textId="77777777" w:rsidTr="00FF2031">
        <w:tc>
          <w:tcPr>
            <w:tcW w:w="0" w:type="auto"/>
          </w:tcPr>
          <w:p w14:paraId="67CA6AF5" w14:textId="7CF53EE8" w:rsidR="007208B2" w:rsidRPr="00C330DF" w:rsidRDefault="007208B2" w:rsidP="007208B2">
            <w:pPr>
              <w:pStyle w:val="aa"/>
              <w:numPr>
                <w:ilvl w:val="0"/>
                <w:numId w:val="24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761FE1" w14:textId="48D777F5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1066</w:t>
            </w:r>
            <w:r>
              <w:rPr>
                <w:sz w:val="24"/>
                <w:szCs w:val="24"/>
              </w:rPr>
              <w:t>772</w:t>
            </w:r>
          </w:p>
        </w:tc>
        <w:tc>
          <w:tcPr>
            <w:tcW w:w="0" w:type="auto"/>
          </w:tcPr>
          <w:p w14:paraId="5DB1E3A3" w14:textId="77777777" w:rsidR="007208B2" w:rsidRPr="00412F10" w:rsidRDefault="007208B2" w:rsidP="00720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4</w:t>
            </w:r>
            <w:r w:rsidRPr="00412F10">
              <w:rPr>
                <w:sz w:val="24"/>
                <w:szCs w:val="24"/>
                <w:vertAlign w:val="superscript"/>
              </w:rPr>
              <w:t>ο</w:t>
            </w:r>
          </w:p>
        </w:tc>
        <w:tc>
          <w:tcPr>
            <w:tcW w:w="0" w:type="auto"/>
          </w:tcPr>
          <w:p w14:paraId="0C76C972" w14:textId="4CE2BCC4" w:rsidR="007208B2" w:rsidRPr="00F30026" w:rsidRDefault="00135E53" w:rsidP="007208B2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29</w:t>
            </w:r>
            <w:r w:rsidR="007208B2" w:rsidRPr="00412F10">
              <w:rPr>
                <w:sz w:val="24"/>
                <w:szCs w:val="24"/>
              </w:rPr>
              <w:t>+</w:t>
            </w:r>
            <w:r w:rsidR="007208B2">
              <w:rPr>
                <w:sz w:val="24"/>
                <w:szCs w:val="24"/>
              </w:rPr>
              <w:t>34</w:t>
            </w:r>
            <w:r w:rsidR="007208B2" w:rsidRPr="00412F10">
              <w:rPr>
                <w:sz w:val="24"/>
                <w:szCs w:val="24"/>
              </w:rPr>
              <w:t xml:space="preserve">= </w:t>
            </w:r>
            <w:r w:rsidR="007208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C657222" w14:textId="77777777" w:rsidR="005D4283" w:rsidRPr="00412F10" w:rsidRDefault="005D4283" w:rsidP="006A5A26">
      <w:pPr>
        <w:spacing w:before="120"/>
        <w:jc w:val="both"/>
        <w:rPr>
          <w:sz w:val="24"/>
          <w:szCs w:val="24"/>
        </w:rPr>
      </w:pPr>
    </w:p>
    <w:p w14:paraId="191F1656" w14:textId="77777777" w:rsidR="005D4283" w:rsidRPr="00412F10" w:rsidRDefault="005D4283" w:rsidP="006A5A26">
      <w:pPr>
        <w:spacing w:before="120"/>
        <w:jc w:val="both"/>
        <w:rPr>
          <w:sz w:val="24"/>
          <w:szCs w:val="24"/>
        </w:rPr>
      </w:pPr>
    </w:p>
    <w:p w14:paraId="27736D22" w14:textId="77777777" w:rsidR="00365B6D" w:rsidRPr="00412F10" w:rsidRDefault="00365B6D" w:rsidP="002D5DF6">
      <w:pPr>
        <w:spacing w:before="120"/>
        <w:jc w:val="both"/>
        <w:rPr>
          <w:sz w:val="24"/>
          <w:szCs w:val="24"/>
        </w:rPr>
      </w:pPr>
    </w:p>
    <w:p w14:paraId="075DBF14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4248FE52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1C2EFB1D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121DFB61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20AE5311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7FB0BDFD" w14:textId="77777777" w:rsidR="00FF2031" w:rsidRPr="00412F10" w:rsidRDefault="00FF2031" w:rsidP="002D5DF6">
      <w:pPr>
        <w:spacing w:before="120"/>
        <w:jc w:val="both"/>
        <w:rPr>
          <w:sz w:val="24"/>
          <w:szCs w:val="24"/>
        </w:rPr>
      </w:pPr>
    </w:p>
    <w:p w14:paraId="6C29B732" w14:textId="124357A7" w:rsidR="00582CDD" w:rsidRPr="00412F10" w:rsidRDefault="00582CDD" w:rsidP="002D5DF6">
      <w:pPr>
        <w:spacing w:before="120"/>
        <w:jc w:val="both"/>
        <w:rPr>
          <w:sz w:val="24"/>
          <w:szCs w:val="24"/>
        </w:rPr>
      </w:pPr>
    </w:p>
    <w:p w14:paraId="0043B3F4" w14:textId="77777777" w:rsidR="00412F10" w:rsidRDefault="00412F10" w:rsidP="002D5DF6">
      <w:pPr>
        <w:spacing w:before="120"/>
        <w:jc w:val="both"/>
        <w:rPr>
          <w:sz w:val="24"/>
          <w:szCs w:val="24"/>
        </w:rPr>
      </w:pPr>
    </w:p>
    <w:p w14:paraId="7523CABF" w14:textId="458214E6" w:rsidR="00822700" w:rsidRDefault="00822700" w:rsidP="002D5DF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Τυχόν ενστάσεις θα μπορούν να κατατεθούν εντός πέντε εργασίμων ημερών από την επομένη της ανάρτησης</w:t>
      </w:r>
      <w:r w:rsidR="00890EE6">
        <w:rPr>
          <w:sz w:val="24"/>
          <w:szCs w:val="24"/>
        </w:rPr>
        <w:t xml:space="preserve"> (έως 06/06/2022 </w:t>
      </w:r>
      <w:r w:rsidR="00890EE6" w:rsidRPr="00890EE6">
        <w:rPr>
          <w:rFonts w:asciiTheme="minorHAnsi" w:hAnsiTheme="minorHAnsi" w:cstheme="minorHAnsi"/>
          <w:sz w:val="22"/>
          <w:szCs w:val="22"/>
        </w:rPr>
        <w:t>στις 14:00μ.μ)</w:t>
      </w:r>
      <w:r w:rsidRPr="00890EE6">
        <w:rPr>
          <w:sz w:val="22"/>
          <w:szCs w:val="22"/>
        </w:rPr>
        <w:t>,</w:t>
      </w:r>
      <w:r w:rsidR="005657AA" w:rsidRPr="00890EE6">
        <w:rPr>
          <w:sz w:val="22"/>
          <w:szCs w:val="22"/>
        </w:rPr>
        <w:t xml:space="preserve"> στην</w:t>
      </w:r>
      <w:r w:rsidR="005657AA">
        <w:rPr>
          <w:sz w:val="24"/>
          <w:szCs w:val="24"/>
        </w:rPr>
        <w:t xml:space="preserve"> ηλεκτρονική διεύθυνση </w:t>
      </w:r>
      <w:hyperlink r:id="rId8" w:history="1">
        <w:r w:rsidR="005657AA" w:rsidRPr="009E1FEF">
          <w:rPr>
            <w:rStyle w:val="-"/>
            <w:sz w:val="24"/>
            <w:szCs w:val="24"/>
            <w:lang w:val="en-GB"/>
          </w:rPr>
          <w:t>rescom</w:t>
        </w:r>
        <w:r w:rsidR="005657AA" w:rsidRPr="009E1FEF">
          <w:rPr>
            <w:rStyle w:val="-"/>
            <w:sz w:val="24"/>
            <w:szCs w:val="24"/>
          </w:rPr>
          <w:t>@</w:t>
        </w:r>
        <w:r w:rsidR="005657AA" w:rsidRPr="009E1FEF">
          <w:rPr>
            <w:rStyle w:val="-"/>
            <w:sz w:val="24"/>
            <w:szCs w:val="24"/>
            <w:lang w:val="en-GB"/>
          </w:rPr>
          <w:t>upatras</w:t>
        </w:r>
        <w:r w:rsidR="005657AA" w:rsidRPr="009E1FEF">
          <w:rPr>
            <w:rStyle w:val="-"/>
            <w:sz w:val="24"/>
            <w:szCs w:val="24"/>
          </w:rPr>
          <w:t>.</w:t>
        </w:r>
        <w:r w:rsidR="005657AA" w:rsidRPr="009E1FEF">
          <w:rPr>
            <w:rStyle w:val="-"/>
            <w:sz w:val="24"/>
            <w:szCs w:val="24"/>
            <w:lang w:val="en-GB"/>
          </w:rPr>
          <w:t>gr</w:t>
        </w:r>
      </w:hyperlink>
      <w:r w:rsidR="005657AA" w:rsidRPr="005657AA">
        <w:rPr>
          <w:sz w:val="24"/>
          <w:szCs w:val="24"/>
        </w:rPr>
        <w:t xml:space="preserve"> </w:t>
      </w:r>
      <w:r w:rsidR="005657AA">
        <w:rPr>
          <w:sz w:val="24"/>
          <w:szCs w:val="24"/>
        </w:rPr>
        <w:t>με κοινοποίηση στην κα Α</w:t>
      </w:r>
      <w:r w:rsidR="003A0E0E">
        <w:rPr>
          <w:sz w:val="24"/>
          <w:szCs w:val="24"/>
        </w:rPr>
        <w:t>γκότη (</w:t>
      </w:r>
      <w:hyperlink r:id="rId9" w:history="1">
        <w:r w:rsidR="003A0E0E" w:rsidRPr="009E1FEF">
          <w:rPr>
            <w:rStyle w:val="-"/>
            <w:sz w:val="24"/>
            <w:szCs w:val="24"/>
            <w:lang w:val="en-GB"/>
          </w:rPr>
          <w:t>stagoti</w:t>
        </w:r>
        <w:r w:rsidR="003A0E0E" w:rsidRPr="009E1FEF">
          <w:rPr>
            <w:rStyle w:val="-"/>
            <w:sz w:val="24"/>
            <w:szCs w:val="24"/>
          </w:rPr>
          <w:t>@</w:t>
        </w:r>
        <w:r w:rsidR="003A0E0E" w:rsidRPr="009E1FEF">
          <w:rPr>
            <w:rStyle w:val="-"/>
            <w:sz w:val="24"/>
            <w:szCs w:val="24"/>
            <w:lang w:val="en-GB"/>
          </w:rPr>
          <w:t>upatras</w:t>
        </w:r>
        <w:r w:rsidR="003A0E0E" w:rsidRPr="009E1FEF">
          <w:rPr>
            <w:rStyle w:val="-"/>
            <w:sz w:val="24"/>
            <w:szCs w:val="24"/>
          </w:rPr>
          <w:t>.</w:t>
        </w:r>
        <w:r w:rsidR="003A0E0E" w:rsidRPr="009E1FEF">
          <w:rPr>
            <w:rStyle w:val="-"/>
            <w:sz w:val="24"/>
            <w:szCs w:val="24"/>
            <w:lang w:val="en-GB"/>
          </w:rPr>
          <w:t>gr</w:t>
        </w:r>
      </w:hyperlink>
      <w:r w:rsidR="003A0E0E" w:rsidRPr="003A0E0E">
        <w:rPr>
          <w:sz w:val="24"/>
          <w:szCs w:val="24"/>
        </w:rPr>
        <w:t>)</w:t>
      </w:r>
      <w:r w:rsidR="003A0E0E">
        <w:rPr>
          <w:sz w:val="24"/>
          <w:szCs w:val="24"/>
        </w:rPr>
        <w:t xml:space="preserve">, έτσι ώστε </w:t>
      </w:r>
      <w:r w:rsidR="00FB7F63">
        <w:rPr>
          <w:sz w:val="24"/>
          <w:szCs w:val="24"/>
        </w:rPr>
        <w:t>να εξεταστούν από την Επιτροπή Προσφυγών και Ενστάσεων</w:t>
      </w:r>
      <w:r w:rsidR="00310B7B">
        <w:rPr>
          <w:sz w:val="24"/>
          <w:szCs w:val="24"/>
        </w:rPr>
        <w:t xml:space="preserve"> του ΕΛΚΕ. Η ένσταση θα πρέπει να αναφέρει λεπτομερή τεκμηρίωση των υπό αμφισβήτηση στοιχείων</w:t>
      </w:r>
      <w:r w:rsidR="00637DAF">
        <w:rPr>
          <w:sz w:val="24"/>
          <w:szCs w:val="24"/>
        </w:rPr>
        <w:t xml:space="preserve"> (π.χ. α. μέσος όρος βαθμολογίας, β. αριθμός επιτυχώς εξετασθέντων μαθημάτων)</w:t>
      </w:r>
      <w:r w:rsidR="001A4D94">
        <w:rPr>
          <w:sz w:val="24"/>
          <w:szCs w:val="24"/>
        </w:rPr>
        <w:t xml:space="preserve"> και να συνοδεύεται από στοιχεία τεκμηρίωσης (π.χ. πιστοποιητικό αναλυτικής βαθμολογίας)</w:t>
      </w:r>
      <w:r w:rsidR="00615E89">
        <w:rPr>
          <w:sz w:val="24"/>
          <w:szCs w:val="24"/>
        </w:rPr>
        <w:t>.</w:t>
      </w:r>
      <w:r w:rsidR="00FB7F63">
        <w:rPr>
          <w:sz w:val="24"/>
          <w:szCs w:val="24"/>
        </w:rPr>
        <w:t xml:space="preserve"> </w:t>
      </w:r>
    </w:p>
    <w:p w14:paraId="0829E186" w14:textId="43AF4C9D" w:rsidR="00890EE6" w:rsidRPr="00BF4E50" w:rsidRDefault="00890EE6" w:rsidP="00890EE6">
      <w:pPr>
        <w:jc w:val="both"/>
        <w:rPr>
          <w:rFonts w:asciiTheme="minorHAnsi" w:hAnsiTheme="minorHAnsi" w:cstheme="minorHAnsi"/>
          <w:sz w:val="22"/>
          <w:szCs w:val="22"/>
        </w:rPr>
      </w:pPr>
      <w:r w:rsidRPr="00BF4E50">
        <w:rPr>
          <w:rFonts w:asciiTheme="minorHAnsi" w:hAnsiTheme="minorHAnsi" w:cstheme="minorHAnsi"/>
          <w:sz w:val="22"/>
          <w:szCs w:val="22"/>
        </w:rPr>
        <w:t xml:space="preserve">Ο οριστικός πίνακας θα αναρτηθεί μετά την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BF4E50">
        <w:rPr>
          <w:rFonts w:asciiTheme="minorHAnsi" w:hAnsiTheme="minorHAnsi" w:cstheme="minorHAnsi"/>
          <w:b/>
          <w:sz w:val="22"/>
          <w:szCs w:val="22"/>
        </w:rPr>
        <w:t xml:space="preserve">η </w:t>
      </w:r>
      <w:r>
        <w:rPr>
          <w:rFonts w:asciiTheme="minorHAnsi" w:hAnsiTheme="minorHAnsi" w:cstheme="minorHAnsi"/>
          <w:b/>
          <w:sz w:val="22"/>
          <w:szCs w:val="22"/>
        </w:rPr>
        <w:t>Ιουνίου</w:t>
      </w:r>
      <w:r w:rsidRPr="00BF4E50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 xml:space="preserve">2 </w:t>
      </w:r>
      <w:r w:rsidRPr="00BF4E50">
        <w:rPr>
          <w:rFonts w:asciiTheme="minorHAnsi" w:hAnsiTheme="minorHAnsi" w:cstheme="minorHAnsi"/>
          <w:bCs/>
          <w:sz w:val="22"/>
          <w:szCs w:val="22"/>
        </w:rPr>
        <w:t>στην ιστοσελίδα του Γραφείου Πρακτικής Άσκησης</w:t>
      </w:r>
      <w:r w:rsidRPr="00BF4E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BF4E50">
        <w:rPr>
          <w:rFonts w:asciiTheme="minorHAnsi" w:hAnsiTheme="minorHAnsi" w:cstheme="minorHAnsi"/>
          <w:sz w:val="22"/>
          <w:szCs w:val="22"/>
        </w:rPr>
        <w:t>έξω από τη Γραμματεία του Τμήματος και στην ιστοσελίδα του Τμήματος.</w:t>
      </w:r>
    </w:p>
    <w:p w14:paraId="2A688E5A" w14:textId="77777777" w:rsidR="00890EE6" w:rsidRPr="003A0E0E" w:rsidRDefault="00890EE6" w:rsidP="002D5DF6">
      <w:pPr>
        <w:spacing w:before="120"/>
        <w:jc w:val="both"/>
        <w:rPr>
          <w:sz w:val="24"/>
          <w:szCs w:val="24"/>
        </w:rPr>
      </w:pPr>
    </w:p>
    <w:p w14:paraId="08A7694E" w14:textId="5D986839" w:rsidR="006A5A26" w:rsidRPr="00412F10" w:rsidRDefault="006A5A26" w:rsidP="002D5DF6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412F10" w14:paraId="4E7690CD" w14:textId="77777777" w:rsidTr="004121D7">
        <w:trPr>
          <w:jc w:val="center"/>
        </w:trPr>
        <w:tc>
          <w:tcPr>
            <w:tcW w:w="8296" w:type="dxa"/>
            <w:gridSpan w:val="3"/>
          </w:tcPr>
          <w:p w14:paraId="2397B657" w14:textId="77777777" w:rsidR="000B2193" w:rsidRPr="00412F10" w:rsidRDefault="00C76BFB" w:rsidP="00C76BFB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Η Επιτροπή Πρακτικής Άσκησης</w:t>
            </w:r>
          </w:p>
          <w:p w14:paraId="197F94A7" w14:textId="3D8B49B7" w:rsidR="00BB4245" w:rsidRPr="00412F10" w:rsidRDefault="00BB4245" w:rsidP="00C76BFB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6D03" w:rsidRPr="00412F10" w14:paraId="15A0F4F4" w14:textId="77777777" w:rsidTr="00B03AE8">
        <w:trPr>
          <w:trHeight w:val="1020"/>
          <w:jc w:val="center"/>
        </w:trPr>
        <w:tc>
          <w:tcPr>
            <w:tcW w:w="2765" w:type="dxa"/>
          </w:tcPr>
          <w:p w14:paraId="0516E7B4" w14:textId="28FCC18F" w:rsidR="00C76BFB" w:rsidRPr="00412F10" w:rsidRDefault="00BB4245" w:rsidP="001F6C2D">
            <w:pPr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Γεώργιο Σαμπατακάκης</w:t>
            </w:r>
          </w:p>
          <w:p w14:paraId="5AC39CCF" w14:textId="77777777" w:rsidR="00C76BFB" w:rsidRPr="00412F10" w:rsidRDefault="00C76BFB" w:rsidP="001F6C2D">
            <w:pPr>
              <w:jc w:val="center"/>
              <w:rPr>
                <w:sz w:val="24"/>
                <w:szCs w:val="24"/>
              </w:rPr>
            </w:pPr>
          </w:p>
          <w:p w14:paraId="43FB7CD2" w14:textId="77777777" w:rsidR="001F421E" w:rsidRPr="00412F10" w:rsidRDefault="001F421E" w:rsidP="001F6C2D">
            <w:pPr>
              <w:jc w:val="center"/>
              <w:rPr>
                <w:sz w:val="24"/>
                <w:szCs w:val="24"/>
              </w:rPr>
            </w:pPr>
          </w:p>
          <w:p w14:paraId="1D63A8CA" w14:textId="13F09B39" w:rsidR="00126D03" w:rsidRPr="00412F10" w:rsidRDefault="00C76BFB" w:rsidP="001F6C2D">
            <w:pPr>
              <w:jc w:val="center"/>
              <w:rPr>
                <w:sz w:val="24"/>
                <w:szCs w:val="24"/>
                <w:highlight w:val="yellow"/>
              </w:rPr>
            </w:pPr>
            <w:r w:rsidRPr="00412F10">
              <w:rPr>
                <w:sz w:val="24"/>
                <w:szCs w:val="24"/>
              </w:rPr>
              <w:t xml:space="preserve">  </w:t>
            </w:r>
            <w:r w:rsidR="00BB4245" w:rsidRPr="00412F10">
              <w:rPr>
                <w:sz w:val="24"/>
                <w:szCs w:val="24"/>
              </w:rPr>
              <w:t xml:space="preserve">Αν </w:t>
            </w:r>
            <w:r w:rsidRPr="00412F10">
              <w:rPr>
                <w:sz w:val="24"/>
                <w:szCs w:val="24"/>
              </w:rPr>
              <w:t>Καθηγητής</w:t>
            </w:r>
          </w:p>
        </w:tc>
        <w:tc>
          <w:tcPr>
            <w:tcW w:w="2765" w:type="dxa"/>
          </w:tcPr>
          <w:p w14:paraId="584B5051" w14:textId="359BAB47" w:rsidR="00C76BFB" w:rsidRPr="00412F10" w:rsidRDefault="00BB4245" w:rsidP="00C76BFB">
            <w:pPr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>Ιωάννα Παπαγεωργίου</w:t>
            </w:r>
          </w:p>
          <w:p w14:paraId="5C55234B" w14:textId="77777777" w:rsidR="00C76BFB" w:rsidRPr="00412F10" w:rsidRDefault="00C76BFB" w:rsidP="00C76BFB">
            <w:pPr>
              <w:jc w:val="center"/>
              <w:rPr>
                <w:sz w:val="24"/>
                <w:szCs w:val="24"/>
              </w:rPr>
            </w:pPr>
          </w:p>
          <w:p w14:paraId="21F04ED8" w14:textId="77777777" w:rsidR="001F421E" w:rsidRPr="00412F10" w:rsidRDefault="001F421E" w:rsidP="00C76BFB">
            <w:pPr>
              <w:jc w:val="center"/>
              <w:rPr>
                <w:sz w:val="24"/>
                <w:szCs w:val="24"/>
              </w:rPr>
            </w:pPr>
          </w:p>
          <w:p w14:paraId="4937D55A" w14:textId="7A347DF7" w:rsidR="00126D03" w:rsidRPr="00412F10" w:rsidRDefault="00BB4245" w:rsidP="00C76BFB">
            <w:pPr>
              <w:jc w:val="center"/>
              <w:rPr>
                <w:sz w:val="24"/>
                <w:szCs w:val="24"/>
                <w:highlight w:val="yellow"/>
              </w:rPr>
            </w:pPr>
            <w:r w:rsidRPr="00412F10">
              <w:rPr>
                <w:sz w:val="24"/>
                <w:szCs w:val="24"/>
              </w:rPr>
              <w:t xml:space="preserve">Επικ. </w:t>
            </w:r>
            <w:r w:rsidR="00C76BFB" w:rsidRPr="00412F10">
              <w:rPr>
                <w:sz w:val="24"/>
                <w:szCs w:val="24"/>
              </w:rPr>
              <w:t xml:space="preserve"> Καθηγ</w:t>
            </w:r>
            <w:r w:rsidRPr="00412F10">
              <w:rPr>
                <w:sz w:val="24"/>
                <w:szCs w:val="24"/>
              </w:rPr>
              <w:t>ήτρια</w:t>
            </w:r>
          </w:p>
        </w:tc>
        <w:tc>
          <w:tcPr>
            <w:tcW w:w="2766" w:type="dxa"/>
          </w:tcPr>
          <w:p w14:paraId="7EE3B98A" w14:textId="2B173CE4" w:rsidR="00C76BFB" w:rsidRPr="00412F10" w:rsidRDefault="00BB4245" w:rsidP="00C76BFB">
            <w:pPr>
              <w:jc w:val="center"/>
              <w:rPr>
                <w:sz w:val="24"/>
                <w:szCs w:val="24"/>
              </w:rPr>
            </w:pPr>
            <w:r w:rsidRPr="00412F10">
              <w:rPr>
                <w:sz w:val="24"/>
                <w:szCs w:val="24"/>
              </w:rPr>
              <w:t xml:space="preserve">Αικατερίνη Κουνάκη </w:t>
            </w:r>
          </w:p>
          <w:p w14:paraId="0151D5DA" w14:textId="77777777" w:rsidR="00C76BFB" w:rsidRPr="00412F10" w:rsidRDefault="00C76BFB" w:rsidP="00C76BFB">
            <w:pPr>
              <w:jc w:val="center"/>
              <w:rPr>
                <w:sz w:val="24"/>
                <w:szCs w:val="24"/>
              </w:rPr>
            </w:pPr>
          </w:p>
          <w:p w14:paraId="1B0D840C" w14:textId="77777777" w:rsidR="001F421E" w:rsidRPr="00412F10" w:rsidRDefault="001F421E" w:rsidP="00C76BFB">
            <w:pPr>
              <w:jc w:val="center"/>
              <w:rPr>
                <w:sz w:val="24"/>
                <w:szCs w:val="24"/>
              </w:rPr>
            </w:pPr>
          </w:p>
          <w:p w14:paraId="3B85C345" w14:textId="0EC41CB7" w:rsidR="00126D03" w:rsidRPr="00412F10" w:rsidRDefault="00C76BFB" w:rsidP="00C76BFB">
            <w:pPr>
              <w:jc w:val="center"/>
              <w:rPr>
                <w:sz w:val="24"/>
                <w:szCs w:val="24"/>
                <w:highlight w:val="yellow"/>
              </w:rPr>
            </w:pPr>
            <w:r w:rsidRPr="00412F10">
              <w:rPr>
                <w:sz w:val="24"/>
                <w:szCs w:val="24"/>
              </w:rPr>
              <w:t xml:space="preserve"> </w:t>
            </w:r>
            <w:r w:rsidR="00BB4245" w:rsidRPr="00412F10">
              <w:rPr>
                <w:sz w:val="24"/>
                <w:szCs w:val="24"/>
              </w:rPr>
              <w:t>Επικ.  Καθηγήτρια</w:t>
            </w:r>
          </w:p>
        </w:tc>
      </w:tr>
    </w:tbl>
    <w:p w14:paraId="5AE1ED23" w14:textId="77777777" w:rsidR="003E50C8" w:rsidRPr="00412F10" w:rsidRDefault="003E50C8" w:rsidP="00C15B56">
      <w:pPr>
        <w:spacing w:before="240"/>
        <w:ind w:left="360"/>
        <w:jc w:val="both"/>
        <w:rPr>
          <w:sz w:val="24"/>
          <w:szCs w:val="24"/>
        </w:rPr>
      </w:pPr>
    </w:p>
    <w:sectPr w:rsidR="003E50C8" w:rsidRPr="00412F10" w:rsidSect="00F6781C">
      <w:headerReference w:type="default" r:id="rId10"/>
      <w:footerReference w:type="even" r:id="rId11"/>
      <w:footerReference w:type="default" r:id="rId12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345F" w14:textId="77777777" w:rsidR="00C249D7" w:rsidRDefault="00C249D7">
      <w:r>
        <w:separator/>
      </w:r>
    </w:p>
  </w:endnote>
  <w:endnote w:type="continuationSeparator" w:id="0">
    <w:p w14:paraId="30A7ED81" w14:textId="77777777" w:rsidR="00C249D7" w:rsidRDefault="00C2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51EB" w14:textId="77777777" w:rsidR="00C249D7" w:rsidRDefault="00C249D7">
      <w:r>
        <w:separator/>
      </w:r>
    </w:p>
  </w:footnote>
  <w:footnote w:type="continuationSeparator" w:id="0">
    <w:p w14:paraId="7E810B6C" w14:textId="77777777" w:rsidR="00C249D7" w:rsidRDefault="00C2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7650"/>
    <w:multiLevelType w:val="hybridMultilevel"/>
    <w:tmpl w:val="7C6E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8234169">
    <w:abstractNumId w:val="7"/>
  </w:num>
  <w:num w:numId="2" w16cid:durableId="1050350080">
    <w:abstractNumId w:val="11"/>
  </w:num>
  <w:num w:numId="3" w16cid:durableId="995038184">
    <w:abstractNumId w:val="19"/>
  </w:num>
  <w:num w:numId="4" w16cid:durableId="1436435468">
    <w:abstractNumId w:val="1"/>
  </w:num>
  <w:num w:numId="5" w16cid:durableId="829752948">
    <w:abstractNumId w:val="16"/>
  </w:num>
  <w:num w:numId="6" w16cid:durableId="1854607582">
    <w:abstractNumId w:val="15"/>
  </w:num>
  <w:num w:numId="7" w16cid:durableId="1304896019">
    <w:abstractNumId w:val="20"/>
  </w:num>
  <w:num w:numId="8" w16cid:durableId="1652831567">
    <w:abstractNumId w:val="22"/>
  </w:num>
  <w:num w:numId="9" w16cid:durableId="753472059">
    <w:abstractNumId w:val="0"/>
  </w:num>
  <w:num w:numId="10" w16cid:durableId="875234050">
    <w:abstractNumId w:val="8"/>
  </w:num>
  <w:num w:numId="11" w16cid:durableId="1823279312">
    <w:abstractNumId w:val="17"/>
  </w:num>
  <w:num w:numId="12" w16cid:durableId="1951274297">
    <w:abstractNumId w:val="10"/>
  </w:num>
  <w:num w:numId="13" w16cid:durableId="1436173970">
    <w:abstractNumId w:val="13"/>
  </w:num>
  <w:num w:numId="14" w16cid:durableId="1129782868">
    <w:abstractNumId w:val="3"/>
  </w:num>
  <w:num w:numId="15" w16cid:durableId="1842888625">
    <w:abstractNumId w:val="2"/>
  </w:num>
  <w:num w:numId="16" w16cid:durableId="691808483">
    <w:abstractNumId w:val="21"/>
  </w:num>
  <w:num w:numId="17" w16cid:durableId="249506213">
    <w:abstractNumId w:val="6"/>
  </w:num>
  <w:num w:numId="18" w16cid:durableId="586888182">
    <w:abstractNumId w:val="23"/>
  </w:num>
  <w:num w:numId="19" w16cid:durableId="725570627">
    <w:abstractNumId w:val="5"/>
  </w:num>
  <w:num w:numId="20" w16cid:durableId="1167670358">
    <w:abstractNumId w:val="9"/>
  </w:num>
  <w:num w:numId="21" w16cid:durableId="1544828142">
    <w:abstractNumId w:val="4"/>
  </w:num>
  <w:num w:numId="22" w16cid:durableId="19209208">
    <w:abstractNumId w:val="14"/>
  </w:num>
  <w:num w:numId="23" w16cid:durableId="269633132">
    <w:abstractNumId w:val="18"/>
  </w:num>
  <w:num w:numId="24" w16cid:durableId="1318192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5479C"/>
    <w:rsid w:val="00060751"/>
    <w:rsid w:val="00063F8E"/>
    <w:rsid w:val="0007560B"/>
    <w:rsid w:val="000810A2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2E9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39BC"/>
    <w:rsid w:val="00135E53"/>
    <w:rsid w:val="00135F71"/>
    <w:rsid w:val="00136CA8"/>
    <w:rsid w:val="00137F82"/>
    <w:rsid w:val="00143A88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A4D94"/>
    <w:rsid w:val="001A6F17"/>
    <w:rsid w:val="001B18AB"/>
    <w:rsid w:val="001D291F"/>
    <w:rsid w:val="001D3C82"/>
    <w:rsid w:val="001E6537"/>
    <w:rsid w:val="001E6611"/>
    <w:rsid w:val="001F22F4"/>
    <w:rsid w:val="001F421E"/>
    <w:rsid w:val="001F60F2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64806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10B7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5B6D"/>
    <w:rsid w:val="00370DDA"/>
    <w:rsid w:val="00382A15"/>
    <w:rsid w:val="00385BA4"/>
    <w:rsid w:val="00392BF7"/>
    <w:rsid w:val="003A0E0E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5AAF"/>
    <w:rsid w:val="003F703D"/>
    <w:rsid w:val="004048A9"/>
    <w:rsid w:val="00412F10"/>
    <w:rsid w:val="00415F2C"/>
    <w:rsid w:val="00423B0C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3FD"/>
    <w:rsid w:val="00544C9C"/>
    <w:rsid w:val="00556607"/>
    <w:rsid w:val="00556F29"/>
    <w:rsid w:val="00561704"/>
    <w:rsid w:val="005657AA"/>
    <w:rsid w:val="00571B2A"/>
    <w:rsid w:val="005806F3"/>
    <w:rsid w:val="00580AA3"/>
    <w:rsid w:val="00582CDD"/>
    <w:rsid w:val="005859CE"/>
    <w:rsid w:val="0059249B"/>
    <w:rsid w:val="005972CD"/>
    <w:rsid w:val="005A0EFD"/>
    <w:rsid w:val="005A7F98"/>
    <w:rsid w:val="005D4283"/>
    <w:rsid w:val="005D74CC"/>
    <w:rsid w:val="005E4A78"/>
    <w:rsid w:val="005E59A8"/>
    <w:rsid w:val="005E5F26"/>
    <w:rsid w:val="00600A1B"/>
    <w:rsid w:val="006073A5"/>
    <w:rsid w:val="006073F9"/>
    <w:rsid w:val="00607F46"/>
    <w:rsid w:val="00612576"/>
    <w:rsid w:val="00614A10"/>
    <w:rsid w:val="00615E89"/>
    <w:rsid w:val="0061693E"/>
    <w:rsid w:val="00620A69"/>
    <w:rsid w:val="00622367"/>
    <w:rsid w:val="006258B5"/>
    <w:rsid w:val="00626BD1"/>
    <w:rsid w:val="00635A3F"/>
    <w:rsid w:val="00637DAF"/>
    <w:rsid w:val="0064652C"/>
    <w:rsid w:val="006518A9"/>
    <w:rsid w:val="0065238E"/>
    <w:rsid w:val="0065402A"/>
    <w:rsid w:val="00655DBC"/>
    <w:rsid w:val="00667605"/>
    <w:rsid w:val="00673D1E"/>
    <w:rsid w:val="00692C03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08B2"/>
    <w:rsid w:val="0072188E"/>
    <w:rsid w:val="00723634"/>
    <w:rsid w:val="00726EAE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C54F1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2700"/>
    <w:rsid w:val="0082361D"/>
    <w:rsid w:val="0082557C"/>
    <w:rsid w:val="00825D2D"/>
    <w:rsid w:val="00837BE3"/>
    <w:rsid w:val="008411F4"/>
    <w:rsid w:val="00846786"/>
    <w:rsid w:val="008542F2"/>
    <w:rsid w:val="0085569B"/>
    <w:rsid w:val="00855964"/>
    <w:rsid w:val="008609C9"/>
    <w:rsid w:val="00871B69"/>
    <w:rsid w:val="00890EE6"/>
    <w:rsid w:val="008917F0"/>
    <w:rsid w:val="008A0F4D"/>
    <w:rsid w:val="008A3C83"/>
    <w:rsid w:val="008B33C4"/>
    <w:rsid w:val="008B44F3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432F"/>
    <w:rsid w:val="00936795"/>
    <w:rsid w:val="00940168"/>
    <w:rsid w:val="00950B38"/>
    <w:rsid w:val="00951562"/>
    <w:rsid w:val="00951A06"/>
    <w:rsid w:val="00960DA2"/>
    <w:rsid w:val="009629B0"/>
    <w:rsid w:val="00971FA8"/>
    <w:rsid w:val="009747CB"/>
    <w:rsid w:val="00980A51"/>
    <w:rsid w:val="0098263E"/>
    <w:rsid w:val="0098436B"/>
    <w:rsid w:val="00987800"/>
    <w:rsid w:val="009971D8"/>
    <w:rsid w:val="009A10D4"/>
    <w:rsid w:val="009A6E28"/>
    <w:rsid w:val="009B3469"/>
    <w:rsid w:val="009C4AA0"/>
    <w:rsid w:val="009D0929"/>
    <w:rsid w:val="009E505C"/>
    <w:rsid w:val="009F1673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57F18"/>
    <w:rsid w:val="00A71187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20F"/>
    <w:rsid w:val="00AE1530"/>
    <w:rsid w:val="00AE34E8"/>
    <w:rsid w:val="00AF23B9"/>
    <w:rsid w:val="00AF574A"/>
    <w:rsid w:val="00AF705B"/>
    <w:rsid w:val="00B14DEA"/>
    <w:rsid w:val="00B15BE9"/>
    <w:rsid w:val="00B25C5D"/>
    <w:rsid w:val="00B27B4E"/>
    <w:rsid w:val="00B364D7"/>
    <w:rsid w:val="00B54834"/>
    <w:rsid w:val="00B54E7F"/>
    <w:rsid w:val="00B55BF5"/>
    <w:rsid w:val="00B60766"/>
    <w:rsid w:val="00B62EC0"/>
    <w:rsid w:val="00B62F2C"/>
    <w:rsid w:val="00B76087"/>
    <w:rsid w:val="00B8376F"/>
    <w:rsid w:val="00B97893"/>
    <w:rsid w:val="00BA64BA"/>
    <w:rsid w:val="00BA6CBE"/>
    <w:rsid w:val="00BB4245"/>
    <w:rsid w:val="00BD2DE7"/>
    <w:rsid w:val="00BD5ED7"/>
    <w:rsid w:val="00BE2B70"/>
    <w:rsid w:val="00BF7F07"/>
    <w:rsid w:val="00C06100"/>
    <w:rsid w:val="00C07C8B"/>
    <w:rsid w:val="00C15B56"/>
    <w:rsid w:val="00C249D7"/>
    <w:rsid w:val="00C25796"/>
    <w:rsid w:val="00C31DC4"/>
    <w:rsid w:val="00C330DF"/>
    <w:rsid w:val="00C3342C"/>
    <w:rsid w:val="00C460C9"/>
    <w:rsid w:val="00C52087"/>
    <w:rsid w:val="00C5433B"/>
    <w:rsid w:val="00C56ED6"/>
    <w:rsid w:val="00C56EFF"/>
    <w:rsid w:val="00C622CC"/>
    <w:rsid w:val="00C76BFB"/>
    <w:rsid w:val="00C7784A"/>
    <w:rsid w:val="00C863C6"/>
    <w:rsid w:val="00C9424F"/>
    <w:rsid w:val="00C9508A"/>
    <w:rsid w:val="00CA35E1"/>
    <w:rsid w:val="00CB62DC"/>
    <w:rsid w:val="00CC0B1C"/>
    <w:rsid w:val="00CC20F7"/>
    <w:rsid w:val="00CD2051"/>
    <w:rsid w:val="00CD5C51"/>
    <w:rsid w:val="00CF0D1B"/>
    <w:rsid w:val="00CF21E3"/>
    <w:rsid w:val="00D0002F"/>
    <w:rsid w:val="00D10E83"/>
    <w:rsid w:val="00D11E18"/>
    <w:rsid w:val="00D14D0A"/>
    <w:rsid w:val="00D22DF0"/>
    <w:rsid w:val="00D236DE"/>
    <w:rsid w:val="00D245D0"/>
    <w:rsid w:val="00D24B18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51CB"/>
    <w:rsid w:val="00E07DEC"/>
    <w:rsid w:val="00E14F5A"/>
    <w:rsid w:val="00E153B4"/>
    <w:rsid w:val="00E21E53"/>
    <w:rsid w:val="00E51223"/>
    <w:rsid w:val="00E75B24"/>
    <w:rsid w:val="00E83EF5"/>
    <w:rsid w:val="00E92DA0"/>
    <w:rsid w:val="00E979B0"/>
    <w:rsid w:val="00EA1D9B"/>
    <w:rsid w:val="00EA7804"/>
    <w:rsid w:val="00EE4E6E"/>
    <w:rsid w:val="00EF32BD"/>
    <w:rsid w:val="00EF3CBB"/>
    <w:rsid w:val="00EF7A4F"/>
    <w:rsid w:val="00F25AB5"/>
    <w:rsid w:val="00F30026"/>
    <w:rsid w:val="00F4199A"/>
    <w:rsid w:val="00F436B0"/>
    <w:rsid w:val="00F43E86"/>
    <w:rsid w:val="00F559B9"/>
    <w:rsid w:val="00F57605"/>
    <w:rsid w:val="00F62B92"/>
    <w:rsid w:val="00F65292"/>
    <w:rsid w:val="00F6781C"/>
    <w:rsid w:val="00F725FB"/>
    <w:rsid w:val="00F80E57"/>
    <w:rsid w:val="00F86DE0"/>
    <w:rsid w:val="00FB5951"/>
    <w:rsid w:val="00FB7F63"/>
    <w:rsid w:val="00FD578E"/>
    <w:rsid w:val="00FE6BB9"/>
    <w:rsid w:val="00FF2031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DF590"/>
  <w15:docId w15:val="{452CE5FD-E1F7-496F-8ED5-1ECFD9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uiPriority w:val="99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  <w:style w:type="character" w:styleId="ab">
    <w:name w:val="annotation reference"/>
    <w:basedOn w:val="a0"/>
    <w:uiPriority w:val="99"/>
    <w:semiHidden/>
    <w:unhideWhenUsed/>
    <w:rsid w:val="00E051C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E051CB"/>
  </w:style>
  <w:style w:type="character" w:customStyle="1" w:styleId="Char2">
    <w:name w:val="Κείμενο σχολίου Char"/>
    <w:basedOn w:val="a0"/>
    <w:link w:val="ac"/>
    <w:uiPriority w:val="99"/>
    <w:semiHidden/>
    <w:rsid w:val="00E051C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051C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E051CB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6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om@upatra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goti@upatras.g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E17E-1CE6-47F6-8995-95F7778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2169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2022-05-30T08:05:00Z</dcterms:created>
  <dcterms:modified xsi:type="dcterms:W3CDTF">2022-05-30T08:10:00Z</dcterms:modified>
</cp:coreProperties>
</file>