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1301D" w14:textId="69EEF275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773F987B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5DC99F9E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1AFD50D5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0312CC75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20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>
        <w:rPr>
          <w:rFonts w:asciiTheme="minorHAnsi" w:hAnsiTheme="minorHAnsi" w:cstheme="minorHAnsi"/>
          <w:b/>
          <w:color w:val="FF0000"/>
        </w:rPr>
        <w:t>1</w:t>
      </w:r>
    </w:p>
    <w:p w14:paraId="033A4627" w14:textId="15D94BD7" w:rsidR="001D616B" w:rsidRPr="00136CA8" w:rsidRDefault="00585932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Οριστικά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α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ποτελέσματα κατάταξης </w:t>
      </w:r>
      <w:r w:rsidR="001D616B">
        <w:rPr>
          <w:rFonts w:asciiTheme="minorHAnsi" w:hAnsiTheme="minorHAnsi" w:cstheme="minorHAnsi"/>
          <w:b/>
          <w:u w:val="single"/>
        </w:rPr>
        <w:t xml:space="preserve">της από </w:t>
      </w:r>
      <w:r w:rsidR="00E32376">
        <w:rPr>
          <w:rFonts w:asciiTheme="minorHAnsi" w:hAnsiTheme="minorHAnsi" w:cstheme="minorHAnsi"/>
          <w:b/>
          <w:u w:val="single"/>
        </w:rPr>
        <w:t>22</w:t>
      </w:r>
      <w:r w:rsidR="001D616B">
        <w:rPr>
          <w:rFonts w:asciiTheme="minorHAnsi" w:hAnsiTheme="minorHAnsi" w:cstheme="minorHAnsi"/>
          <w:b/>
          <w:u w:val="single"/>
        </w:rPr>
        <w:t>/</w:t>
      </w:r>
      <w:r w:rsidR="00204468">
        <w:rPr>
          <w:rFonts w:asciiTheme="minorHAnsi" w:hAnsiTheme="minorHAnsi" w:cstheme="minorHAnsi"/>
          <w:b/>
          <w:u w:val="single"/>
        </w:rPr>
        <w:t>03</w:t>
      </w:r>
      <w:r w:rsidR="001D616B"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 w:rsidR="001D616B">
        <w:rPr>
          <w:rFonts w:asciiTheme="minorHAnsi" w:hAnsiTheme="minorHAnsi" w:cstheme="minorHAnsi"/>
          <w:b/>
          <w:u w:val="single"/>
        </w:rPr>
        <w:t xml:space="preserve"> προκήρυξης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6C3C299C" w14:textId="77777777" w:rsidR="00E32376" w:rsidRDefault="001D616B" w:rsidP="00E32376">
      <w:pPr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</w:t>
      </w:r>
      <w:r w:rsidR="00E32376" w:rsidRPr="00CB7C23">
        <w:rPr>
          <w:rFonts w:asciiTheme="minorHAnsi" w:hAnsiTheme="minorHAnsi" w:cstheme="minorHAnsi"/>
        </w:rPr>
        <w:t xml:space="preserve">διαπιστώθηκε ότι υπέβαλαν αίτηση </w:t>
      </w:r>
      <w:r w:rsidR="00E32376">
        <w:rPr>
          <w:rFonts w:asciiTheme="minorHAnsi" w:hAnsiTheme="minorHAnsi" w:cstheme="minorHAnsi"/>
          <w:b/>
        </w:rPr>
        <w:t>τέσσερις</w:t>
      </w:r>
      <w:r w:rsidR="00E32376" w:rsidRPr="00CB7C23">
        <w:rPr>
          <w:rFonts w:asciiTheme="minorHAnsi" w:hAnsiTheme="minorHAnsi" w:cstheme="minorHAnsi"/>
          <w:b/>
        </w:rPr>
        <w:t xml:space="preserve"> (</w:t>
      </w:r>
      <w:r w:rsidR="00E32376">
        <w:rPr>
          <w:rFonts w:asciiTheme="minorHAnsi" w:hAnsiTheme="minorHAnsi" w:cstheme="minorHAnsi"/>
          <w:b/>
        </w:rPr>
        <w:t>4</w:t>
      </w:r>
      <w:r w:rsidR="00E32376" w:rsidRPr="00CB7C23">
        <w:rPr>
          <w:rFonts w:asciiTheme="minorHAnsi" w:hAnsiTheme="minorHAnsi" w:cstheme="minorHAnsi"/>
          <w:b/>
        </w:rPr>
        <w:t>)</w:t>
      </w:r>
      <w:r w:rsidR="00E32376" w:rsidRPr="00CB7C23">
        <w:rPr>
          <w:rFonts w:asciiTheme="minorHAnsi" w:hAnsiTheme="minorHAnsi" w:cstheme="minorHAnsi"/>
        </w:rPr>
        <w:t xml:space="preserve"> φοιτητές, εκ των οποίων </w:t>
      </w:r>
      <w:r w:rsidR="00E32376" w:rsidRPr="00861BFF">
        <w:rPr>
          <w:rFonts w:asciiTheme="minorHAnsi" w:hAnsiTheme="minorHAnsi" w:cstheme="minorHAnsi"/>
        </w:rPr>
        <w:t>μόνο οι</w:t>
      </w:r>
      <w:r w:rsidR="00E32376" w:rsidRPr="00861BFF">
        <w:rPr>
          <w:rFonts w:asciiTheme="minorHAnsi" w:hAnsiTheme="minorHAnsi" w:cstheme="minorHAnsi"/>
          <w:b/>
        </w:rPr>
        <w:t xml:space="preserve"> τρεις (3)</w:t>
      </w:r>
      <w:r w:rsidR="00E32376" w:rsidRPr="00CB7C23">
        <w:rPr>
          <w:rFonts w:asciiTheme="minorHAnsi" w:hAnsiTheme="minorHAnsi" w:cstheme="minorHAnsi"/>
        </w:rPr>
        <w:t xml:space="preserve"> ήταν εμπρόθεσμες. </w:t>
      </w:r>
    </w:p>
    <w:p w14:paraId="5B153936" w14:textId="77777777" w:rsidR="00E32376" w:rsidRDefault="00E32376" w:rsidP="00E32376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αίτηση με Α.Μ. 12253 και </w:t>
      </w:r>
      <w:proofErr w:type="spellStart"/>
      <w:r>
        <w:rPr>
          <w:rFonts w:asciiTheme="minorHAnsi" w:hAnsiTheme="minorHAnsi" w:cstheme="minorHAnsi"/>
        </w:rPr>
        <w:t>αρ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 xml:space="preserve">. 202/6-4-2021 ήταν εκπρόθεσμη και δεν αξιολογείται. </w:t>
      </w:r>
    </w:p>
    <w:p w14:paraId="5840AA0D" w14:textId="77777777" w:rsidR="00E32376" w:rsidRDefault="00E32376" w:rsidP="00E32376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τον πρώτο έλεγχο των δικαιολογητικών διαπιστώθηκε ότι από τις </w:t>
      </w:r>
      <w:r>
        <w:rPr>
          <w:rFonts w:asciiTheme="minorHAnsi" w:hAnsiTheme="minorHAnsi" w:cstheme="minorHAnsi"/>
        </w:rPr>
        <w:t>εναπομείνασες τρεις (3) αιτήσεις</w:t>
      </w:r>
      <w:r w:rsidRPr="00CB7C23">
        <w:rPr>
          <w:rFonts w:asciiTheme="minorHAnsi" w:hAnsiTheme="minorHAnsi" w:cstheme="minorHAnsi"/>
        </w:rPr>
        <w:t xml:space="preserve"> ήταν πλήρεις </w:t>
      </w:r>
      <w:r>
        <w:rPr>
          <w:rFonts w:asciiTheme="minorHAnsi" w:hAnsiTheme="minorHAnsi" w:cstheme="minorHAnsi"/>
        </w:rPr>
        <w:t>μόνο</w:t>
      </w:r>
      <w:r w:rsidRPr="00CB7C23">
        <w:rPr>
          <w:rFonts w:asciiTheme="minorHAnsi" w:hAnsiTheme="minorHAnsi" w:cstheme="minorHAnsi"/>
        </w:rPr>
        <w:t xml:space="preserve"> οι </w:t>
      </w:r>
      <w:r>
        <w:rPr>
          <w:rFonts w:asciiTheme="minorHAnsi" w:hAnsiTheme="minorHAnsi" w:cstheme="minorHAnsi"/>
        </w:rPr>
        <w:t>δύο (2)</w:t>
      </w:r>
      <w:r w:rsidRPr="00CB7C23">
        <w:rPr>
          <w:rFonts w:asciiTheme="minorHAnsi" w:hAnsiTheme="minorHAnsi" w:cstheme="minorHAnsi"/>
        </w:rPr>
        <w:t>.</w:t>
      </w:r>
    </w:p>
    <w:p w14:paraId="43C8A1F8" w14:textId="77777777" w:rsidR="00E32376" w:rsidRPr="00CB7C23" w:rsidRDefault="00E32376" w:rsidP="00E32376">
      <w:pPr>
        <w:ind w:firstLine="720"/>
        <w:jc w:val="both"/>
        <w:rPr>
          <w:rFonts w:asciiTheme="minorHAnsi" w:hAnsiTheme="minorHAnsi" w:cstheme="minorHAnsi"/>
        </w:rPr>
      </w:pPr>
      <w:r w:rsidRPr="002044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Η αίτηση με ΑΜ 12303 και </w:t>
      </w:r>
      <w:proofErr w:type="spellStart"/>
      <w:r>
        <w:rPr>
          <w:rFonts w:asciiTheme="minorHAnsi" w:hAnsiTheme="minorHAnsi" w:cstheme="minorHAnsi"/>
        </w:rPr>
        <w:t>αρ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>. 199/5-4-2021 απορρίπτεται γιατί δεν περιλαμβάνει βεβαίωση του φορέα απασχόλησης</w:t>
      </w:r>
    </w:p>
    <w:p w14:paraId="02FA7A7E" w14:textId="77777777" w:rsidR="00E32376" w:rsidRPr="00CB7C23" w:rsidRDefault="00E32376" w:rsidP="00E32376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>
        <w:rPr>
          <w:rFonts w:asciiTheme="minorHAnsi" w:hAnsiTheme="minorHAnsi" w:cstheme="minorHAnsi"/>
          <w:b/>
        </w:rPr>
        <w:t>δύο</w:t>
      </w:r>
      <w:r w:rsidRPr="00CB7C23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2</w:t>
      </w:r>
      <w:r w:rsidRPr="00CB7C23">
        <w:rPr>
          <w:rFonts w:asciiTheme="minorHAnsi" w:hAnsiTheme="minorHAnsi" w:cstheme="minorHAnsi"/>
          <w:b/>
        </w:rPr>
        <w:t>)</w:t>
      </w:r>
      <w:r w:rsidRPr="00CB7C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μόνο </w:t>
      </w:r>
      <w:r w:rsidRPr="00CB7C23">
        <w:rPr>
          <w:rFonts w:asciiTheme="minorHAnsi" w:hAnsiTheme="minorHAnsi" w:cstheme="minorHAnsi"/>
        </w:rPr>
        <w:t>αιτήσεις και εξετάζονται για την παρούσα προκήρυξη.</w:t>
      </w:r>
      <w:r>
        <w:rPr>
          <w:rFonts w:asciiTheme="minorHAnsi" w:hAnsiTheme="minorHAnsi" w:cstheme="minorHAnsi"/>
        </w:rPr>
        <w:t xml:space="preserve"> </w:t>
      </w:r>
    </w:p>
    <w:p w14:paraId="5E39ED9E" w14:textId="77777777" w:rsidR="00E32376" w:rsidRPr="002D51F0" w:rsidRDefault="00E32376" w:rsidP="00E32376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Με δεδομένο ότι </w:t>
      </w:r>
      <w:r w:rsidRPr="00CB7C23">
        <w:rPr>
          <w:rFonts w:asciiTheme="minorHAnsi" w:hAnsiTheme="minorHAnsi" w:cstheme="minorHAnsi"/>
          <w:lang w:val="en-US"/>
        </w:rPr>
        <w:t>o</w:t>
      </w:r>
      <w:r w:rsidRPr="00CB7C23">
        <w:rPr>
          <w:rFonts w:asciiTheme="minorHAnsi" w:hAnsiTheme="minorHAnsi" w:cstheme="minorHAnsi"/>
        </w:rPr>
        <w:t xml:space="preserve"> αριθμός των θέσεων της ΠΑ που εγκρίθηκαν από το Πανεπιστήμιο Πατρών για την περίοδο αυτή ανέρχεται στις </w:t>
      </w:r>
      <w:r w:rsidRPr="00472C6E">
        <w:rPr>
          <w:rFonts w:asciiTheme="minorHAnsi" w:hAnsiTheme="minorHAnsi" w:cstheme="minorHAnsi"/>
          <w:b/>
        </w:rPr>
        <w:t>εννέα  (9),</w:t>
      </w:r>
      <w:r w:rsidRPr="00CB7C23">
        <w:rPr>
          <w:rFonts w:asciiTheme="minorHAnsi" w:hAnsiTheme="minorHAnsi" w:cstheme="minorHAnsi"/>
        </w:rPr>
        <w:t xml:space="preserve">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</w:t>
      </w:r>
      <w:r w:rsidRPr="002D51F0">
        <w:rPr>
          <w:rFonts w:asciiTheme="minorHAnsi" w:hAnsiTheme="minorHAnsi" w:cstheme="minorHAnsi"/>
        </w:rPr>
        <w:t xml:space="preserve"> ενεργοποιούνται όταν ο αριθμός των αιτήσεων είναι μεγαλύτερος των διαθέσιμων θέσεων, αλλά ακολούθησε η κατάταξή τους στη λίστα του παρακάτω πίνακα. </w:t>
      </w:r>
    </w:p>
    <w:p w14:paraId="70D14FC0" w14:textId="6F5DA8EE" w:rsidR="00585932" w:rsidRDefault="00585932" w:rsidP="00E32376">
      <w:pPr>
        <w:spacing w:before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>
        <w:rPr>
          <w:rFonts w:ascii="Calibri" w:hAnsi="Calibri" w:cs="Calibri"/>
          <w:b/>
        </w:rPr>
        <w:t>δεν υπεβλήθη ουδεμία ένσταση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οπότε ο παρακάτω πίνακας  είναι και ο οριστικός</w:t>
      </w:r>
      <w:r>
        <w:rPr>
          <w:rFonts w:ascii="Calibri" w:hAnsi="Calibri" w:cs="Calibri"/>
        </w:rPr>
        <w:t xml:space="preserve">. </w:t>
      </w:r>
    </w:p>
    <w:p w14:paraId="1D5AECF4" w14:textId="77777777" w:rsidR="00585932" w:rsidRDefault="00585932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10406773" w14:textId="77777777" w:rsidR="00585932" w:rsidRDefault="00585932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50F9E071" w14:textId="77777777" w:rsidR="00E32376" w:rsidRPr="002D51F0" w:rsidRDefault="00E32376" w:rsidP="00E32376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1D243914" w14:textId="77777777" w:rsidR="00E32376" w:rsidRPr="002D51F0" w:rsidRDefault="00E32376" w:rsidP="00E32376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E32376" w:rsidRPr="002D51F0" w14:paraId="5423D3DA" w14:textId="77777777" w:rsidTr="007F0ECF">
        <w:trPr>
          <w:jc w:val="center"/>
        </w:trPr>
        <w:tc>
          <w:tcPr>
            <w:tcW w:w="534" w:type="dxa"/>
          </w:tcPr>
          <w:p w14:paraId="11AE6892" w14:textId="77777777" w:rsidR="00E32376" w:rsidRPr="005009CA" w:rsidRDefault="00E32376" w:rsidP="007F0ECF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6AEE5445" w14:textId="77777777" w:rsidR="00E32376" w:rsidRPr="005009CA" w:rsidRDefault="00E32376" w:rsidP="007F0ECF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E32376" w:rsidRPr="002D51F0" w14:paraId="2D8A6806" w14:textId="77777777" w:rsidTr="007F0ECF">
        <w:trPr>
          <w:jc w:val="center"/>
        </w:trPr>
        <w:tc>
          <w:tcPr>
            <w:tcW w:w="534" w:type="dxa"/>
            <w:vAlign w:val="center"/>
          </w:tcPr>
          <w:p w14:paraId="7D83248A" w14:textId="77777777" w:rsidR="00E32376" w:rsidRPr="004B7CD1" w:rsidRDefault="00E32376" w:rsidP="007F0ECF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4B7CD1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  <w:vAlign w:val="center"/>
          </w:tcPr>
          <w:p w14:paraId="2B1DB3E0" w14:textId="77777777" w:rsidR="00E32376" w:rsidRPr="00715881" w:rsidRDefault="00E32376" w:rsidP="007F0ECF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12278</w:t>
            </w:r>
          </w:p>
        </w:tc>
      </w:tr>
      <w:tr w:rsidR="00E32376" w:rsidRPr="00561704" w14:paraId="59E6D319" w14:textId="77777777" w:rsidTr="007F0ECF">
        <w:trPr>
          <w:jc w:val="center"/>
        </w:trPr>
        <w:tc>
          <w:tcPr>
            <w:tcW w:w="534" w:type="dxa"/>
            <w:vAlign w:val="center"/>
          </w:tcPr>
          <w:p w14:paraId="31C58B3E" w14:textId="77777777" w:rsidR="00E32376" w:rsidRPr="005009CA" w:rsidRDefault="00E32376" w:rsidP="007F0ECF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  <w:vAlign w:val="center"/>
          </w:tcPr>
          <w:p w14:paraId="027B93EE" w14:textId="77777777" w:rsidR="00E32376" w:rsidRPr="005009CA" w:rsidRDefault="00E32376" w:rsidP="007F0ECF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12306</w:t>
            </w:r>
          </w:p>
        </w:tc>
      </w:tr>
    </w:tbl>
    <w:p w14:paraId="073D446C" w14:textId="77777777" w:rsidR="00E32376" w:rsidRDefault="00E32376" w:rsidP="00E32376">
      <w:pPr>
        <w:rPr>
          <w:rFonts w:asciiTheme="minorHAnsi" w:hAnsiTheme="minorHAnsi" w:cstheme="minorHAnsi"/>
          <w:i/>
        </w:rPr>
      </w:pPr>
    </w:p>
    <w:p w14:paraId="598931F9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2B9BC619" w14:textId="303E1A71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2392FDCA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120B70E5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Κοσμάς Λ. </w:t>
      </w:r>
      <w:proofErr w:type="spellStart"/>
      <w:r w:rsidRPr="002D51F0">
        <w:rPr>
          <w:rFonts w:asciiTheme="minorHAnsi" w:hAnsiTheme="minorHAnsi" w:cstheme="minorHAnsi"/>
          <w:i/>
        </w:rPr>
        <w:t>Βιδάλης</w:t>
      </w:r>
      <w:proofErr w:type="spellEnd"/>
    </w:p>
    <w:p w14:paraId="5BF6C36D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6D81B" w14:textId="77777777" w:rsidR="000878D3" w:rsidRDefault="000878D3">
      <w:r>
        <w:separator/>
      </w:r>
    </w:p>
  </w:endnote>
  <w:endnote w:type="continuationSeparator" w:id="0">
    <w:p w14:paraId="1FB91CA9" w14:textId="77777777" w:rsidR="000878D3" w:rsidRDefault="0008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432FF" w14:textId="77777777" w:rsidR="007E3ED3" w:rsidRDefault="00161FA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751C0E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5990F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3C9293EF" wp14:editId="5E421F73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314C" w14:textId="77777777" w:rsidR="000878D3" w:rsidRDefault="000878D3">
      <w:r>
        <w:separator/>
      </w:r>
    </w:p>
  </w:footnote>
  <w:footnote w:type="continuationSeparator" w:id="0">
    <w:p w14:paraId="6AEC7989" w14:textId="77777777" w:rsidR="000878D3" w:rsidRDefault="0008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28665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305ABBD7" wp14:editId="23E4F735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21EC6667" wp14:editId="05212F19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809C3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878D3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85932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86060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4361"/>
    <w:rsid w:val="00C460C9"/>
    <w:rsid w:val="00C5433B"/>
    <w:rsid w:val="00C56EFF"/>
    <w:rsid w:val="00C622CC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47C8"/>
    <w:rsid w:val="00E309A6"/>
    <w:rsid w:val="00E32376"/>
    <w:rsid w:val="00E54D21"/>
    <w:rsid w:val="00E75B24"/>
    <w:rsid w:val="00E83EF5"/>
    <w:rsid w:val="00E92DA0"/>
    <w:rsid w:val="00E97F6E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1093B"/>
  <w15:docId w15:val="{B22B156B-F001-49FF-B06F-942CB48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8F4B-8588-4784-ABDF-CC717665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2162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2021-04-21T11:29:00Z</dcterms:created>
  <dcterms:modified xsi:type="dcterms:W3CDTF">2021-04-21T11:29:00Z</dcterms:modified>
</cp:coreProperties>
</file>