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5103"/>
      </w:tblGrid>
      <w:tr w:rsidR="007E3ED3" w:rsidRPr="002B5C1A">
        <w:trPr>
          <w:trHeight w:val="283"/>
        </w:trPr>
        <w:tc>
          <w:tcPr>
            <w:tcW w:w="3969" w:type="dxa"/>
          </w:tcPr>
          <w:p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7E3ED3" w:rsidRPr="00A15BD2" w:rsidRDefault="006F5C9F" w:rsidP="00C0534B">
            <w:pPr>
              <w:spacing w:before="80" w:afterLines="80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:rsidR="002B7311" w:rsidRDefault="002B7311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lang w:val="en-US"/>
        </w:rPr>
      </w:pPr>
    </w:p>
    <w:p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:rsidR="007E3ED3" w:rsidRPr="00136CA8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201</w:t>
      </w:r>
      <w:r w:rsidR="00051C2D" w:rsidRPr="00136CA8">
        <w:rPr>
          <w:rFonts w:asciiTheme="minorHAnsi" w:hAnsiTheme="minorHAnsi" w:cstheme="minorHAnsi"/>
          <w:b/>
          <w:color w:val="FF0000"/>
        </w:rPr>
        <w:t>9</w:t>
      </w:r>
      <w:r w:rsidRPr="00136CA8">
        <w:rPr>
          <w:rFonts w:asciiTheme="minorHAnsi" w:hAnsiTheme="minorHAnsi" w:cstheme="minorHAnsi"/>
          <w:b/>
          <w:color w:val="FF0000"/>
        </w:rPr>
        <w:t>-20</w:t>
      </w:r>
      <w:r w:rsidR="00051C2D" w:rsidRPr="00136CA8">
        <w:rPr>
          <w:rFonts w:asciiTheme="minorHAnsi" w:hAnsiTheme="minorHAnsi" w:cstheme="minorHAnsi"/>
          <w:b/>
          <w:color w:val="FF0000"/>
        </w:rPr>
        <w:t>20</w:t>
      </w:r>
    </w:p>
    <w:p w:rsidR="007E3ED3" w:rsidRPr="00136CA8" w:rsidRDefault="0042497F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 w:rsidR="002B7311">
        <w:rPr>
          <w:rFonts w:asciiTheme="minorHAnsi" w:hAnsiTheme="minorHAnsi" w:cstheme="minorHAnsi"/>
          <w:b/>
          <w:u w:val="single"/>
        </w:rPr>
        <w:t xml:space="preserve">της από 04/02/20 προκήρυξης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622367" w:rsidRPr="00561704">
        <w:rPr>
          <w:rFonts w:asciiTheme="minorHAnsi" w:hAnsiTheme="minorHAnsi" w:cstheme="minorHAnsi"/>
        </w:rPr>
        <w:t xml:space="preserve">του Τμήματος </w:t>
      </w:r>
      <w:r w:rsidR="00561704" w:rsidRPr="00561704">
        <w:rPr>
          <w:rFonts w:asciiTheme="minorHAnsi" w:hAnsiTheme="minorHAnsi" w:cstheme="minorHAnsi"/>
        </w:rPr>
        <w:t xml:space="preserve">Τμήμα </w:t>
      </w:r>
      <w:proofErr w:type="spellStart"/>
      <w:r w:rsidR="00561704" w:rsidRPr="00561704">
        <w:rPr>
          <w:rFonts w:asciiTheme="minorHAnsi" w:hAnsiTheme="minorHAnsi" w:cstheme="minorHAnsi"/>
        </w:rPr>
        <w:t>Ζωϊκής</w:t>
      </w:r>
      <w:proofErr w:type="spellEnd"/>
      <w:r w:rsidR="00561704"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="00561704"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="00561704" w:rsidRPr="00561704">
        <w:rPr>
          <w:rFonts w:asciiTheme="minorHAnsi" w:hAnsiTheme="minorHAnsi" w:cstheme="minorHAnsi"/>
          <w:b/>
        </w:rPr>
        <w:t>ΤεχνΑλΥδ</w:t>
      </w:r>
      <w:proofErr w:type="spellEnd"/>
      <w:r w:rsidR="00561704" w:rsidRPr="00561704">
        <w:rPr>
          <w:rFonts w:asciiTheme="minorHAnsi" w:hAnsiTheme="minorHAnsi" w:cstheme="minorHAnsi"/>
          <w:b/>
        </w:rPr>
        <w:t xml:space="preserve">) </w:t>
      </w:r>
      <w:r w:rsidR="00561704" w:rsidRPr="00561704">
        <w:rPr>
          <w:rFonts w:asciiTheme="minorHAnsi" w:hAnsiTheme="minorHAnsi" w:cstheme="minorHAnsi"/>
        </w:rPr>
        <w:t xml:space="preserve">του Πρώην ΤΕΙ Δυτικής Ελλάδας) </w:t>
      </w:r>
      <w:r w:rsidRPr="00561704">
        <w:rPr>
          <w:rFonts w:asciiTheme="minorHAnsi" w:hAnsiTheme="minorHAnsi" w:cstheme="minorHAnsi"/>
        </w:rPr>
        <w:t>για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F73DB0">
        <w:rPr>
          <w:rFonts w:asciiTheme="minorHAnsi" w:hAnsiTheme="minorHAnsi" w:cstheme="minorHAnsi"/>
          <w:b/>
        </w:rPr>
        <w:t>8</w:t>
      </w:r>
      <w:r w:rsidRPr="002D51F0">
        <w:rPr>
          <w:rFonts w:asciiTheme="minorHAnsi" w:hAnsiTheme="minorHAnsi" w:cstheme="minorHAnsi"/>
        </w:rPr>
        <w:t xml:space="preserve"> φοιτητές.</w:t>
      </w:r>
    </w:p>
    <w:p w:rsidR="002D5DF6" w:rsidRPr="002D51F0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F73DB0">
        <w:rPr>
          <w:rFonts w:asciiTheme="minorHAnsi" w:hAnsiTheme="minorHAnsi" w:cstheme="minorHAnsi"/>
        </w:rPr>
        <w:t>δεκατέσσερις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F73DB0">
        <w:rPr>
          <w:rFonts w:asciiTheme="minorHAnsi" w:hAnsiTheme="minorHAnsi" w:cstheme="minorHAnsi"/>
          <w:b/>
        </w:rPr>
        <w:t>14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:rsidR="007E3ED3" w:rsidRDefault="00325BF0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</w:t>
      </w:r>
      <w:r w:rsidR="007E3ED3" w:rsidRPr="002D51F0">
        <w:rPr>
          <w:rFonts w:asciiTheme="minorHAnsi" w:hAnsiTheme="minorHAnsi" w:cstheme="minorHAnsi"/>
          <w:sz w:val="20"/>
          <w:szCs w:val="20"/>
        </w:rPr>
        <w:t xml:space="preserve">ανακοίνωση των αποτελεσμάτων επιλογής των φοιτητών θα </w:t>
      </w:r>
      <w:r w:rsidR="005E4A78" w:rsidRPr="002D51F0">
        <w:rPr>
          <w:rFonts w:asciiTheme="minorHAnsi" w:hAnsiTheme="minorHAnsi" w:cstheme="minorHAnsi"/>
          <w:sz w:val="20"/>
          <w:szCs w:val="20"/>
        </w:rPr>
        <w:t>υπάρξει προθεσμία πέντε</w:t>
      </w:r>
      <w:r w:rsidR="00A16446" w:rsidRPr="002D51F0">
        <w:rPr>
          <w:rFonts w:asciiTheme="minorHAnsi" w:hAnsiTheme="minorHAnsi" w:cstheme="minorHAnsi"/>
          <w:sz w:val="20"/>
          <w:szCs w:val="20"/>
        </w:rPr>
        <w:t xml:space="preserve"> (5) </w:t>
      </w:r>
      <w:r w:rsidR="005E4A78" w:rsidRPr="002D51F0">
        <w:rPr>
          <w:rFonts w:asciiTheme="minorHAnsi" w:hAnsiTheme="minorHAnsi" w:cstheme="minorHAnsi"/>
          <w:sz w:val="20"/>
          <w:szCs w:val="20"/>
        </w:rPr>
        <w:t xml:space="preserve"> ημερών για τυχόν ενστάσεις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οι οποίες θα γίνονται στη Γραμματεία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 xml:space="preserve"> και στη συνέχεια ο οριστικός πίνακας θα αναρτηθεί έξω από τη Γραμματεία του Τμήματος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και στην ιστοσελίδα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>.</w:t>
      </w:r>
    </w:p>
    <w:p w:rsidR="002B7311" w:rsidRDefault="002B7311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a9"/>
        <w:tblW w:w="0" w:type="auto"/>
        <w:jc w:val="center"/>
        <w:tblLook w:val="04A0"/>
      </w:tblPr>
      <w:tblGrid>
        <w:gridCol w:w="534"/>
        <w:gridCol w:w="1984"/>
      </w:tblGrid>
      <w:tr w:rsidR="00945881" w:rsidRPr="002D51F0" w:rsidTr="000369D0">
        <w:trPr>
          <w:jc w:val="center"/>
        </w:trPr>
        <w:tc>
          <w:tcPr>
            <w:tcW w:w="534" w:type="dxa"/>
          </w:tcPr>
          <w:p w:rsidR="00945881" w:rsidRPr="00806958" w:rsidRDefault="00945881" w:rsidP="000369D0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806958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984" w:type="dxa"/>
          </w:tcPr>
          <w:p w:rsidR="00945881" w:rsidRPr="00806958" w:rsidRDefault="00945881" w:rsidP="000369D0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806958">
              <w:rPr>
                <w:rFonts w:asciiTheme="minorHAnsi" w:hAnsiTheme="minorHAnsi" w:cstheme="minorHAnsi"/>
                <w:b/>
              </w:rPr>
              <w:t>Α.Μ</w:t>
            </w:r>
          </w:p>
        </w:tc>
      </w:tr>
      <w:tr w:rsidR="00945881" w:rsidRPr="002D51F0" w:rsidTr="000369D0">
        <w:trPr>
          <w:jc w:val="center"/>
        </w:trPr>
        <w:tc>
          <w:tcPr>
            <w:tcW w:w="534" w:type="dxa"/>
            <w:vAlign w:val="center"/>
          </w:tcPr>
          <w:p w:rsidR="00945881" w:rsidRPr="002D51F0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12233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2D51F0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12185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12149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12056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11772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3846F2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12257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2B7311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:rsidR="00945881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12166</w:t>
            </w:r>
          </w:p>
        </w:tc>
      </w:tr>
      <w:tr w:rsidR="00945881" w:rsidRPr="00561704" w:rsidTr="000369D0">
        <w:trPr>
          <w:jc w:val="center"/>
        </w:trPr>
        <w:tc>
          <w:tcPr>
            <w:tcW w:w="534" w:type="dxa"/>
            <w:vAlign w:val="center"/>
          </w:tcPr>
          <w:p w:rsidR="00945881" w:rsidRPr="002B7311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:rsidR="00945881" w:rsidRPr="00806958" w:rsidRDefault="00945881" w:rsidP="000369D0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12214</w:t>
            </w:r>
          </w:p>
        </w:tc>
      </w:tr>
    </w:tbl>
    <w:p w:rsidR="002B7311" w:rsidRPr="002D51F0" w:rsidRDefault="002B7311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7E3ED3" w:rsidRPr="002D51F0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67605" w:rsidRPr="002D51F0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p w:rsidR="00806958" w:rsidRDefault="00806958">
      <w:pPr>
        <w:rPr>
          <w:rFonts w:asciiTheme="minorHAnsi" w:hAnsiTheme="minorHAnsi" w:cstheme="minorHAnsi"/>
          <w:i/>
        </w:rPr>
      </w:pPr>
    </w:p>
    <w:sectPr w:rsidR="00806958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6A" w:rsidRDefault="00A6646A">
      <w:r>
        <w:separator/>
      </w:r>
    </w:p>
  </w:endnote>
  <w:endnote w:type="continuationSeparator" w:id="0">
    <w:p w:rsidR="00A6646A" w:rsidRDefault="00A66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Default="00C0534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6A" w:rsidRDefault="00A6646A">
      <w:r>
        <w:separator/>
      </w:r>
    </w:p>
  </w:footnote>
  <w:footnote w:type="continuationSeparator" w:id="0">
    <w:p w:rsidR="00A6646A" w:rsidRDefault="00A66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5F54"/>
    <w:rsid w:val="002A330A"/>
    <w:rsid w:val="002A45E1"/>
    <w:rsid w:val="002A6858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309A6"/>
    <w:rsid w:val="00E75B24"/>
    <w:rsid w:val="00E83EF5"/>
    <w:rsid w:val="00E92DA0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EA5D-9CCC-4D36-ABBB-FE5E3B72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1759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Reviewer </cp:lastModifiedBy>
  <cp:revision>19</cp:revision>
  <cp:lastPrinted>2016-02-10T07:25:00Z</cp:lastPrinted>
  <dcterms:created xsi:type="dcterms:W3CDTF">2020-01-15T11:05:00Z</dcterms:created>
  <dcterms:modified xsi:type="dcterms:W3CDTF">2020-03-05T10:45:00Z</dcterms:modified>
</cp:coreProperties>
</file>